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19ED981B" w:rsidR="00A22298" w:rsidRDefault="00A22298" w:rsidP="00B42F40">
      <w:pPr>
        <w:pStyle w:val="Titul2"/>
      </w:pPr>
      <w:r w:rsidRPr="001276B4">
        <w:t>Technická pomoc investorovi</w:t>
      </w:r>
      <w:r w:rsidR="001276B4">
        <w:t xml:space="preserve"> při realizaci stavby</w:t>
      </w:r>
    </w:p>
    <w:p w14:paraId="0030737C" w14:textId="22700812" w:rsidR="00F422D3" w:rsidRDefault="00F422D3" w:rsidP="00B42F40">
      <w:pPr>
        <w:pStyle w:val="Titul2"/>
      </w:pPr>
      <w:r>
        <w:t>Název zakázky: „</w:t>
      </w:r>
      <w:r w:rsidR="001276B4">
        <w:t xml:space="preserve">Modernizace trati Brno-Přerov, 5. stavba </w:t>
      </w:r>
      <w:proofErr w:type="gramStart"/>
      <w:r w:rsidR="001276B4">
        <w:t>Kojetín - Přerov</w:t>
      </w:r>
      <w:proofErr w:type="gramEnd"/>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4BDC16C5" w:rsidR="00F422D3" w:rsidRDefault="00F422D3" w:rsidP="00B42F40">
      <w:pPr>
        <w:pStyle w:val="Textbezodsazen"/>
      </w:pPr>
      <w:r>
        <w:t xml:space="preserve">ISPROFOND: </w:t>
      </w:r>
      <w:r w:rsidR="001276B4">
        <w:t>5003520040</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0A462CCF" w:rsidR="003F5723" w:rsidRDefault="003F5723" w:rsidP="003F5723">
      <w:pPr>
        <w:pStyle w:val="Text1-1"/>
      </w:pPr>
      <w:r>
        <w:t xml:space="preserve">Objednatel </w:t>
      </w:r>
      <w:r w:rsidRPr="00176814">
        <w:t xml:space="preserve">oznámil </w:t>
      </w:r>
      <w:r w:rsidR="00176814" w:rsidRPr="001276B4">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bookmarkStart w:id="0" w:name="_Hlk203483966"/>
      <w:r w:rsidR="001276B4">
        <w:rPr>
          <w:rFonts w:ascii="Verdana" w:eastAsia="Times New Roman" w:hAnsi="Verdana" w:cs="Times New Roman"/>
          <w:b/>
          <w:lang w:eastAsia="cs-CZ"/>
        </w:rPr>
        <w:t xml:space="preserve">Modernizace trati Brno-Přerov, 5. stavba </w:t>
      </w:r>
      <w:proofErr w:type="gramStart"/>
      <w:r w:rsidR="001276B4">
        <w:rPr>
          <w:rFonts w:ascii="Verdana" w:eastAsia="Times New Roman" w:hAnsi="Verdana" w:cs="Times New Roman"/>
          <w:b/>
          <w:lang w:eastAsia="cs-CZ"/>
        </w:rPr>
        <w:t xml:space="preserve">Kojetín - </w:t>
      </w:r>
      <w:bookmarkEnd w:id="0"/>
      <w:r w:rsidR="001276B4">
        <w:rPr>
          <w:rFonts w:ascii="Verdana" w:eastAsia="Times New Roman" w:hAnsi="Verdana" w:cs="Times New Roman"/>
          <w:b/>
          <w:lang w:eastAsia="cs-CZ"/>
        </w:rPr>
        <w:t>Přerov</w:t>
      </w:r>
      <w:proofErr w:type="gramEnd"/>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28C574BC" w:rsidR="003F5723" w:rsidRDefault="003F5723" w:rsidP="003F5723">
      <w:pPr>
        <w:pStyle w:val="Text1-1"/>
      </w:pPr>
      <w:r>
        <w:t xml:space="preserve">Zhotovitel se zavazuje v souladu s touto Smlouvou provést </w:t>
      </w:r>
      <w:r w:rsidR="00546383">
        <w:t>d</w:t>
      </w:r>
      <w:r>
        <w:t>ílo spočívající v</w:t>
      </w:r>
      <w:r w:rsidR="001276B4">
        <w:t> zajištění technické pomoci investorovi při realizaci stavby s názvem: „</w:t>
      </w:r>
      <w:r w:rsidR="001276B4" w:rsidRPr="001276B4">
        <w:rPr>
          <w:b/>
        </w:rPr>
        <w:t xml:space="preserve">Modernizace trati Brno-Přerov, 5. stavba Kojetín </w:t>
      </w:r>
      <w:r w:rsidR="001276B4">
        <w:rPr>
          <w:b/>
        </w:rPr>
        <w:t>–</w:t>
      </w:r>
      <w:r w:rsidR="001276B4" w:rsidRPr="001276B4">
        <w:rPr>
          <w:b/>
        </w:rPr>
        <w:t xml:space="preserve"> Přerov</w:t>
      </w:r>
      <w:r w:rsidR="001276B4">
        <w:rPr>
          <w:b/>
        </w:rPr>
        <w:t>“</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29CC5909" w:rsidR="003F5723" w:rsidRPr="003F5723" w:rsidRDefault="003F5723" w:rsidP="003F5723">
      <w:pPr>
        <w:pStyle w:val="Textbezslovn"/>
        <w:rPr>
          <w:rStyle w:val="Tun"/>
        </w:rPr>
      </w:pPr>
      <w:r>
        <w:t xml:space="preserve">Cena Díla bez DPH: </w:t>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1B322679" w:rsidR="003F5723" w:rsidRPr="003F5723" w:rsidRDefault="003F5723" w:rsidP="003F5723">
      <w:pPr>
        <w:pStyle w:val="Textbezslovn"/>
        <w:rPr>
          <w:rStyle w:val="Tun"/>
        </w:rPr>
      </w:pPr>
      <w:r>
        <w:t xml:space="preserve">slovy: </w:t>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38B67F92" w:rsidR="003F5723" w:rsidRPr="00DD5F8B" w:rsidRDefault="003F5723" w:rsidP="003F5723">
      <w:pPr>
        <w:pStyle w:val="Text1-1"/>
      </w:pPr>
      <w:r w:rsidRPr="00DD5F8B">
        <w:t xml:space="preserve">Místem plnění je </w:t>
      </w:r>
      <w:r w:rsidR="001276B4">
        <w:t xml:space="preserve">pro předání díla </w:t>
      </w:r>
      <w:r w:rsidRPr="00DD5F8B">
        <w:t xml:space="preserve">Stavební správa </w:t>
      </w:r>
      <w:r w:rsidR="00DD5F8B" w:rsidRPr="00DD5F8B">
        <w:t>východ, Nerudova 1, 779 00 Olomouc.</w:t>
      </w:r>
      <w:r w:rsidR="00DD5F8B">
        <w:t xml:space="preserve"> </w:t>
      </w:r>
      <w:r w:rsidR="001276B4">
        <w:rPr>
          <w:rFonts w:eastAsia="Times New Roman" w:cs="Arial"/>
          <w:lang w:eastAsia="cs-CZ"/>
        </w:rPr>
        <w:t>J</w:t>
      </w:r>
      <w:r w:rsidR="001276B4" w:rsidRPr="0021389F">
        <w:rPr>
          <w:rFonts w:eastAsia="Times New Roman" w:cs="Arial"/>
          <w:lang w:eastAsia="cs-CZ"/>
        </w:rPr>
        <w:t>e dáno místem, v němž má být Dílo dle Projektu a příslušných veřejnoprávních povolení umístěno.</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50D2AD2D" w:rsidR="003F5723" w:rsidRDefault="00BC2E32" w:rsidP="00EA490D">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 xml:space="preserve">(dále jen </w:t>
      </w:r>
      <w:r w:rsidR="00870BCE">
        <w:t>„</w:t>
      </w:r>
      <w:r w:rsidR="003F5723" w:rsidRPr="00870BCE">
        <w:rPr>
          <w:b/>
          <w:bCs/>
        </w:rPr>
        <w:t>GDPR</w:t>
      </w:r>
      <w:r w:rsidR="00870BCE">
        <w:t>“</w:t>
      </w:r>
      <w:r w:rsidR="003F5723">
        <w:t>),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10C5D671" w:rsidR="00B718FF" w:rsidRDefault="00EA490D" w:rsidP="00B718FF">
      <w:pPr>
        <w:pStyle w:val="Text1-2"/>
      </w:pPr>
      <w:r>
        <w:t>NEOBSAZENO</w:t>
      </w:r>
      <w:r w:rsidR="00181412">
        <w:t>.</w:t>
      </w:r>
    </w:p>
    <w:p w14:paraId="61429F19" w14:textId="67FFDAD2" w:rsidR="00B718FF" w:rsidRDefault="00EA490D" w:rsidP="00B718FF">
      <w:pPr>
        <w:pStyle w:val="Text1-2"/>
      </w:pPr>
      <w:r>
        <w:t>NEOBSAZENO</w:t>
      </w:r>
      <w:r w:rsidR="00B718FF">
        <w:t>.</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35203536" w:rsidR="007D1378" w:rsidRPr="00600C41" w:rsidRDefault="007D1378" w:rsidP="007D1378">
      <w:pPr>
        <w:pStyle w:val="Text1-1"/>
        <w:numPr>
          <w:ilvl w:val="0"/>
          <w:numId w:val="0"/>
        </w:numPr>
        <w:ind w:left="737"/>
      </w:pPr>
      <w:r w:rsidRPr="00600C41">
        <w:t xml:space="preserve">Zhotovitel </w:t>
      </w:r>
      <w:r w:rsidR="00B77202">
        <w:t xml:space="preserve">bude </w:t>
      </w:r>
      <w:r w:rsidRPr="00600C41">
        <w:t>daňové doklady vystavovat a tyto Objednateli doručovat některým z</w:t>
      </w:r>
      <w:r w:rsidR="00B67ADD">
        <w:t> </w:t>
      </w:r>
      <w:r w:rsidRPr="00600C41">
        <w:t>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Default="008546F9" w:rsidP="000C1633">
      <w:pPr>
        <w:pStyle w:val="Text1-1"/>
        <w:numPr>
          <w:ilvl w:val="0"/>
          <w:numId w:val="0"/>
        </w:numPr>
        <w:ind w:left="737"/>
      </w:pPr>
      <w:r w:rsidRPr="00600C41">
        <w:t>Po dokončení Díla Zhotovitel vyhotoví a předá Objednateli konečný daňový doklad.</w:t>
      </w:r>
    </w:p>
    <w:p w14:paraId="298D9AE2" w14:textId="4B33CD25" w:rsidR="00B77202" w:rsidRPr="00600C41" w:rsidRDefault="00B77202" w:rsidP="000C1633">
      <w:pPr>
        <w:pStyle w:val="Text1-1"/>
        <w:numPr>
          <w:ilvl w:val="0"/>
          <w:numId w:val="0"/>
        </w:numPr>
        <w:ind w:left="737"/>
      </w:pPr>
      <w:bookmarkStart w:id="1" w:name="_Hlk208239329"/>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bookmarkEnd w:id="1"/>
    </w:p>
    <w:p w14:paraId="61A4A692" w14:textId="77777777" w:rsidR="00BD4057" w:rsidRDefault="00BD4057" w:rsidP="00BD4057">
      <w:pPr>
        <w:pStyle w:val="Text1-1"/>
        <w:numPr>
          <w:ilvl w:val="1"/>
          <w:numId w:val="9"/>
        </w:numPr>
      </w:pPr>
      <w:bookmarkStart w:id="2" w:name="_Hlk208242280"/>
      <w:r w:rsidRPr="00F27598">
        <w:t>V</w:t>
      </w:r>
      <w:r>
        <w:t xml:space="preserve"> článku 5.2 Obchodních podmínek </w:t>
      </w:r>
      <w:r w:rsidRPr="00F27598">
        <w:t>se slovní spojení „</w:t>
      </w:r>
      <w:r w:rsidRPr="00BD4057">
        <w:rPr>
          <w:i/>
          <w:iCs/>
        </w:rPr>
        <w:t>originály dokladů nebo ověřené</w:t>
      </w:r>
      <w:r w:rsidRPr="00F27598">
        <w:t>“ vypouští bez náhrady</w:t>
      </w:r>
      <w:r>
        <w:t>.</w:t>
      </w:r>
      <w:bookmarkEnd w:id="2"/>
    </w:p>
    <w:p w14:paraId="04971399" w14:textId="77777777" w:rsidR="00BD4057" w:rsidRPr="00600C41" w:rsidRDefault="00BD4057" w:rsidP="00BD4057">
      <w:pPr>
        <w:pStyle w:val="Text1-1"/>
        <w:numPr>
          <w:ilvl w:val="1"/>
          <w:numId w:val="9"/>
        </w:numPr>
      </w:pPr>
      <w:r w:rsidRPr="00F27598">
        <w:t>V</w:t>
      </w:r>
      <w:r>
        <w:t xml:space="preserve"> článku 7.4.2 Obchodních podmínek </w:t>
      </w:r>
      <w:r w:rsidRPr="00F27598">
        <w:t>se slovní spojení „</w:t>
      </w:r>
      <w:r w:rsidRPr="00BD4057">
        <w:rPr>
          <w:i/>
          <w:iCs/>
        </w:rPr>
        <w:t>originály nebo ověřené</w:t>
      </w:r>
      <w:r w:rsidRPr="00F27598">
        <w:t>“ vypouští bez náhrady</w:t>
      </w:r>
      <w:r>
        <w:t>.</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0F6EDD8D" w:rsidR="00F14B75" w:rsidRDefault="00B909F6" w:rsidP="00F14B75">
      <w:pPr>
        <w:pStyle w:val="Text1-2"/>
        <w:numPr>
          <w:ilvl w:val="0"/>
          <w:numId w:val="39"/>
        </w:numPr>
        <w:ind w:left="1985"/>
      </w:pPr>
      <w:r>
        <w:t>on, ani žádný z jeho poddodavatelů, nejsou osobami, na něž se vztahuje zákaz zadání veřejné zakázky</w:t>
      </w:r>
      <w:bookmarkStart w:id="3" w:name="_Hlk208239391"/>
      <w:r>
        <w:t>, pokud je to v rozporu s mezinárodními sankcemi podle zákona upravujícího provádění mezinárodních sankcí; právní úprava dle § 48a ZZVZ se použije analogicky</w:t>
      </w:r>
      <w:bookmarkEnd w:id="3"/>
      <w:r w:rsidR="00F14B75">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3B010E8D" w:rsidR="00600C41" w:rsidRDefault="00600C41" w:rsidP="00F14B75">
      <w:pPr>
        <w:pStyle w:val="Text1-2"/>
        <w:numPr>
          <w:ilvl w:val="0"/>
          <w:numId w:val="39"/>
        </w:numPr>
        <w:ind w:left="1985"/>
      </w:pPr>
      <w:r w:rsidRPr="00922189">
        <w:lastRenderedPageBreak/>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nařízení Rady (EU) č. 269/2014 </w:t>
      </w:r>
      <w:r w:rsidR="00BD3114" w:rsidRPr="000E0846">
        <w:t>anebo osobami dle čl. 2 nařízení uveden</w:t>
      </w:r>
      <w:r w:rsidR="00B909F6">
        <w:t>ých</w:t>
      </w:r>
      <w:r w:rsidR="00BD3114" w:rsidRPr="000E0846">
        <w:t xml:space="preserve"> v odstavci </w:t>
      </w:r>
      <w:r w:rsidR="00BD3114">
        <w:t>4.</w:t>
      </w:r>
      <w:r w:rsidR="00BD4057">
        <w:t>9</w:t>
      </w:r>
      <w:r w:rsidR="00BD3114">
        <w:t>.4</w:t>
      </w:r>
      <w:r w:rsidR="00BD3114" w:rsidRPr="000E0846">
        <w:t xml:space="preserve"> této smlouvy </w:t>
      </w:r>
      <w:r w:rsidRPr="00922189">
        <w:t>(dále jen „</w:t>
      </w:r>
      <w:r w:rsidRPr="00870BCE">
        <w:rPr>
          <w:b/>
          <w:bCs/>
        </w:rPr>
        <w:t>Sankční seznamy</w:t>
      </w:r>
      <w:r w:rsidRPr="00922189">
        <w:t>“),</w:t>
      </w:r>
    </w:p>
    <w:p w14:paraId="53CBCC1F" w14:textId="4DF2E5E2" w:rsidR="00B909F6" w:rsidRPr="00922189" w:rsidRDefault="00B909F6" w:rsidP="00F14B75">
      <w:pPr>
        <w:pStyle w:val="Text1-2"/>
        <w:numPr>
          <w:ilvl w:val="0"/>
          <w:numId w:val="39"/>
        </w:numPr>
        <w:ind w:left="1985"/>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w:t>
      </w:r>
      <w:r w:rsidRPr="00870BCE">
        <w:rPr>
          <w:b/>
          <w:bCs/>
        </w:rPr>
        <w:t>Zákon o střetu zájmů</w:t>
      </w:r>
      <w:r w:rsidRPr="00AD299D">
        <w:t>“) nebo jím ovládaná osoba vlastní podíl představující alespoň 25 % účasti společníka v obchodní společnosti, a že žádní poddodavatelé, jimiž prokazoval kvalifikaci v</w:t>
      </w:r>
      <w:r>
        <w:t> </w:t>
      </w:r>
      <w:r w:rsidRPr="00AD299D">
        <w:t xml:space="preserve">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21B95D2E" w14:textId="08880CE4" w:rsidR="00600C41" w:rsidRDefault="00600C41" w:rsidP="00600C41">
      <w:pPr>
        <w:pStyle w:val="Text1-2"/>
        <w:numPr>
          <w:ilvl w:val="2"/>
          <w:numId w:val="9"/>
        </w:numPr>
        <w:tabs>
          <w:tab w:val="clear" w:pos="1474"/>
        </w:tabs>
        <w:ind w:left="1560" w:hanging="794"/>
      </w:pPr>
      <w:r>
        <w:t>Je-li Zhotovitelem sdružení více osob, platí výše podmínky dle tohoto odst. 4.</w:t>
      </w:r>
      <w:r w:rsidR="00BD4057">
        <w:t>9</w:t>
      </w:r>
      <w:r>
        <w:t xml:space="preserve"> také jednotlivě pro všechny osoby v rámci Zhotovitele sdružené, a to bez ohledu na právní formu tohoto sdružení.</w:t>
      </w:r>
    </w:p>
    <w:p w14:paraId="5F38823A" w14:textId="18154430"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w:t>
      </w:r>
      <w:r w:rsidR="00BD4057">
        <w:t>9</w:t>
      </w:r>
      <w:r>
        <w:t>, oznámí tuto skutečnost bez zbytečného odkladu, nejpozději však do 3 pracovních dnů ode dne, kdy přestal splňovat výše uvedené podmínky, Objednateli.</w:t>
      </w:r>
    </w:p>
    <w:p w14:paraId="15E8E714" w14:textId="409B2A28" w:rsidR="00600C41" w:rsidRDefault="00B909F6" w:rsidP="00600C41">
      <w:pPr>
        <w:pStyle w:val="Text1-2"/>
        <w:numPr>
          <w:ilvl w:val="2"/>
          <w:numId w:val="9"/>
        </w:numPr>
        <w:tabs>
          <w:tab w:val="clear" w:pos="1474"/>
        </w:tabs>
        <w:ind w:left="1560" w:hanging="794"/>
      </w:pPr>
      <w:r w:rsidRPr="0029677D">
        <w:t>Zhotovitel se dále zavazuje postupovat při plnění této Smlouvy v souladu s</w:t>
      </w:r>
      <w:r>
        <w:t> 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00600C41">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E544871"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rsidR="00BD4057">
        <w:t>9</w:t>
      </w:r>
      <w:r w:rsidRPr="00600C41">
        <w:t>.1 této Smlouvy jako nepravdivá nebo poruší-li Zhotovitel svou oznamovací povinnost dle odstavce 4.</w:t>
      </w:r>
      <w:r w:rsidR="00BD4057">
        <w:t>9</w:t>
      </w:r>
      <w:r w:rsidRPr="00600C41">
        <w:t>.3 nebo některou z povinností dle odstavců 4.</w:t>
      </w:r>
      <w:r w:rsidR="00BD4057">
        <w:t>9</w:t>
      </w:r>
      <w:r w:rsidRPr="00600C41">
        <w:t>.4 nebo 4.</w:t>
      </w:r>
      <w:r w:rsidR="00BD4057">
        <w:t>9</w:t>
      </w:r>
      <w:r w:rsidRPr="00600C41">
        <w:t>.5 této Smlouvy, je Objednatel oprávněn odstoupit od této Smlouvy. Zhotovitel je dále povinen zaplatit za každé jednotlivé porušení povinností dle předchozí věty, s výjimkou oznamovací povinnosti dle odstavce 4.</w:t>
      </w:r>
      <w:r w:rsidR="00BD4057">
        <w:t>9</w:t>
      </w:r>
      <w:r w:rsidRPr="00600C41">
        <w:t>.3 této Smlouvy, smluvní pokutu ve výši 300.000 Kč. Zhotovitel je dále povinen zaplatit za každé jednotlivé porušení oznamovací povinnosti dle odstavce 4.</w:t>
      </w:r>
      <w:r w:rsidR="00BD4057">
        <w:t>9</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w:t>
      </w:r>
      <w:r w:rsidRPr="00B459C0">
        <w:lastRenderedPageBreak/>
        <w:t>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7DC69560"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rsidR="00C64BE2">
        <w:t>10</w:t>
      </w:r>
      <w:r w:rsidRPr="00B459C0">
        <w:t>.1 této Smlouvy, oznámí Zhotovitel tuto skutečnost bez zbytečného odkladu, nejpozději však do 3 pracovních dnů ode dne, kdy Poddodavatel přestal splňovat výše uvedené podmínky, Objednateli.</w:t>
      </w:r>
    </w:p>
    <w:p w14:paraId="5FF591E8" w14:textId="2E5C1E9C"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rsidR="00C64BE2">
        <w:t>10</w:t>
      </w:r>
      <w:r w:rsidRPr="00B459C0">
        <w:t>.1 této Smlouvy.</w:t>
      </w:r>
    </w:p>
    <w:p w14:paraId="68A4943A" w14:textId="4121051B" w:rsidR="004535A2" w:rsidRDefault="003D53FD" w:rsidP="004535A2">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rsidR="00C64BE2">
        <w:t>10</w:t>
      </w:r>
      <w:r w:rsidRPr="00B459C0">
        <w:t>.1 této Smlouvy jako nepravdivá nebo poruší-li Zhotovitel svou oznamovací povinnost dle odstavce 4.</w:t>
      </w:r>
      <w:r w:rsidR="00C64BE2">
        <w:t>10</w:t>
      </w:r>
      <w:r w:rsidRPr="00B459C0">
        <w:t>.2, je Objednatel oprávněn odstoupit od této Smlouvy. Zhotovitel je dále povinen zaplatit za každé jednotlivé porušení povinností dle předchozí věty, s výjimkou oznamovací povinnosti dle odstavce 4.</w:t>
      </w:r>
      <w:r w:rsidR="00C64BE2">
        <w:t>10</w:t>
      </w:r>
      <w:r w:rsidRPr="00B459C0">
        <w:t>.2 této Smlouvy, smluvní pokutu ve výši 100.000 Kč. Zhotovitel je dále povinen zaplatit za každé jednotlivé porušení oznamovací povinnosti dle odstavce 4.</w:t>
      </w:r>
      <w:r w:rsidR="00C64BE2">
        <w:t>10</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53FF689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56487F">
        <w:t>3</w:t>
      </w:r>
      <w:r>
        <w:t xml:space="preserve">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w:t>
      </w:r>
      <w:r>
        <w:lastRenderedPageBreak/>
        <w:t xml:space="preserve">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1A48973"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FD7C33">
        <w:t>„</w:t>
      </w:r>
      <w:r w:rsidRPr="00FD7C33">
        <w:rPr>
          <w:b/>
          <w:bCs/>
        </w:rPr>
        <w:t>ZRS</w:t>
      </w:r>
      <w:r w:rsidR="00FD7C33">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30561F2C" w:rsidR="003F5723" w:rsidRDefault="003F5723" w:rsidP="00124751">
      <w:pPr>
        <w:pStyle w:val="Text1-1"/>
      </w:pPr>
      <w:r>
        <w:t xml:space="preserve">Smluvní strany výslovně prohlašují, že údaje a další skutečnosti uvedené v této </w:t>
      </w:r>
      <w:r w:rsidR="00B909F6">
        <w:t>S</w:t>
      </w:r>
      <w:r>
        <w:t xml:space="preserve">mlouvě, vyjma částí označených ve smyslu následujícího odstavce této </w:t>
      </w:r>
      <w:r w:rsidR="00B909F6">
        <w:t>S</w:t>
      </w:r>
      <w:r>
        <w:t>mlouvy, nepovažují za obchodní tajemství ve smyslu ustanovení § 504 zákona č. 89/2012 Sb., občanský zákoník, ve znění pozdějších předpisů (dále jen „</w:t>
      </w:r>
      <w:r w:rsidRPr="00BC753D">
        <w:rPr>
          <w:b/>
          <w:bCs/>
        </w:rPr>
        <w:t>obchodní tajemství</w:t>
      </w:r>
      <w:r>
        <w:t>“), a že se nejedná ani o informace, které nemohou být v registru smluv uveřejněny na základě ustanovení § 3 odst. 1 ZRS.</w:t>
      </w:r>
    </w:p>
    <w:p w14:paraId="6B67D239" w14:textId="490F9023" w:rsidR="003F5723" w:rsidRDefault="003F5723" w:rsidP="00124751">
      <w:pPr>
        <w:pStyle w:val="Textbezslovn"/>
      </w:pPr>
      <w:r>
        <w:t>Jestliže smluvní strana označí za své obchodní tajemst</w:t>
      </w:r>
      <w:r w:rsidR="00964369">
        <w:t xml:space="preserve">ví část obsahu </w:t>
      </w:r>
      <w:r w:rsidR="00B909F6">
        <w:t>S</w:t>
      </w:r>
      <w:r w:rsidR="00964369">
        <w:t>mlouvy, která v </w:t>
      </w:r>
      <w:r>
        <w:t xml:space="preserve">důsledku toho bude pro účely uveřejnění </w:t>
      </w:r>
      <w:r w:rsidR="00B909F6">
        <w:t>S</w:t>
      </w:r>
      <w:r>
        <w:t xml:space="preserve">mlouvy v registru smluv znečitelněna, nese tato smluvní strana odpovědnost, pokud by </w:t>
      </w:r>
      <w:r w:rsidR="00B909F6">
        <w:t>S</w:t>
      </w:r>
      <w:r>
        <w:t xml:space="preserve">mlouva v důsledku takového označení byla uveřejněna způsobem odporujícím ZRS, a to bez ohledu na to, která ze stran </w:t>
      </w:r>
      <w:r w:rsidR="00B909F6">
        <w:t>S</w:t>
      </w:r>
      <w:r>
        <w:t xml:space="preserve">mlouvu v registru smluv uveřejnila. S částmi </w:t>
      </w:r>
      <w:r w:rsidR="00B909F6">
        <w:t>S</w:t>
      </w:r>
      <w:r>
        <w:t xml:space="preserve">mlouvy, které druhá smluvní strana neoznačí za své obchodní tajemství před uzavřením této </w:t>
      </w:r>
      <w:r w:rsidR="00B909F6">
        <w:t>S</w:t>
      </w:r>
      <w:r>
        <w:t>mlouvy, nebude Objednatel jako s</w:t>
      </w:r>
      <w:r w:rsidR="00B67ADD">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909F6">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6C317185"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EA490D">
        <w:rPr>
          <w:b/>
        </w:rPr>
        <w:t xml:space="preserve"> </w:t>
      </w:r>
      <w:r w:rsidR="00B42CAB" w:rsidRPr="00B42CAB">
        <w:rPr>
          <w:b/>
        </w:rPr>
        <w:t>SSV</w:t>
      </w:r>
      <w:r w:rsidR="00B23140">
        <w:rPr>
          <w:b/>
        </w:rPr>
        <w:t>/</w:t>
      </w:r>
      <w:r w:rsidR="00EA490D">
        <w:rPr>
          <w:b/>
        </w:rPr>
        <w:t>06/24</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even" r:id="rId12"/>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6C1016D8" w14:textId="156CD8CC" w:rsidR="00ED3A72" w:rsidRPr="00ED3A72" w:rsidRDefault="00F1246E" w:rsidP="00ED3A72">
      <w:pPr>
        <w:pStyle w:val="Textbezodsazen"/>
        <w:rPr>
          <w:bCs/>
        </w:rPr>
      </w:pPr>
      <w:r w:rsidRPr="00F37D94">
        <w:t xml:space="preserve">Předmětem Díla je </w:t>
      </w:r>
      <w:r w:rsidR="00ED3A72" w:rsidRPr="00ED3A72">
        <w:t xml:space="preserve">technická pomoc investorovi při realizaci stavby </w:t>
      </w:r>
      <w:r w:rsidR="00ED3A72" w:rsidRPr="00ED3A72">
        <w:rPr>
          <w:b/>
        </w:rPr>
        <w:t>„</w:t>
      </w:r>
      <w:r w:rsidR="00ED3A72" w:rsidRPr="00ED3A72">
        <w:rPr>
          <w:b/>
          <w:bCs/>
        </w:rPr>
        <w:t xml:space="preserve">Modernizace trati Brno-Přerov, 5. stavba </w:t>
      </w:r>
      <w:proofErr w:type="gramStart"/>
      <w:r w:rsidR="00ED3A72" w:rsidRPr="00ED3A72">
        <w:rPr>
          <w:b/>
          <w:bCs/>
        </w:rPr>
        <w:t>Kojetín - Přerov</w:t>
      </w:r>
      <w:proofErr w:type="gramEnd"/>
      <w:r w:rsidR="00ED3A72" w:rsidRPr="00ED3A72">
        <w:rPr>
          <w:b/>
        </w:rPr>
        <w:t xml:space="preserve">“. </w:t>
      </w:r>
      <w:r w:rsidR="00ED3A72" w:rsidRPr="00ED3A72">
        <w:rPr>
          <w:bCs/>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40495780" w14:textId="77777777" w:rsidR="00ED3A72" w:rsidRPr="00ED3A72" w:rsidRDefault="00ED3A72" w:rsidP="00ED3A72">
      <w:pPr>
        <w:pStyle w:val="Textbezodsazen"/>
        <w:rPr>
          <w:bCs/>
        </w:rPr>
      </w:pPr>
      <w:r w:rsidRPr="00ED3A72">
        <w:rPr>
          <w:bCs/>
        </w:rPr>
        <w:t>TPI rozhodně představuje:</w:t>
      </w:r>
    </w:p>
    <w:p w14:paraId="58AEAD3A" w14:textId="77777777" w:rsidR="00ED3A72" w:rsidRPr="00ED3A72" w:rsidRDefault="00ED3A72" w:rsidP="00ED3A72">
      <w:pPr>
        <w:pStyle w:val="Textbezodsazen"/>
        <w:numPr>
          <w:ilvl w:val="0"/>
          <w:numId w:val="44"/>
        </w:numPr>
        <w:rPr>
          <w:bCs/>
        </w:rPr>
      </w:pPr>
      <w:r w:rsidRPr="00ED3A72">
        <w:rPr>
          <w:bCs/>
        </w:rPr>
        <w:t>účast na pravidelných (týdenních) pracovních poradách a především na kontrolních dnech stavby (většinou s měsíční periodicitou) za účelem sledování a kontroly realizačních postupů stavebních prací; kontrola fakturace stavby,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správcem stavby, který vykonává technickým dozorem stavebníka (TDS)</w:t>
      </w:r>
    </w:p>
    <w:p w14:paraId="40388135" w14:textId="77777777" w:rsidR="00ED3A72" w:rsidRPr="00ED3A72" w:rsidRDefault="00ED3A72" w:rsidP="00ED3A72">
      <w:pPr>
        <w:pStyle w:val="Textbezodsazen"/>
        <w:numPr>
          <w:ilvl w:val="0"/>
          <w:numId w:val="44"/>
        </w:numPr>
        <w:rPr>
          <w:bCs/>
        </w:rPr>
      </w:pPr>
      <w:r w:rsidRPr="00ED3A72">
        <w:rPr>
          <w:bCs/>
        </w:rPr>
        <w:t>sledování souladu průběhu stavby s harmonogramem zhotovitele včetně z toho plynoucího řešení důsledků případného nesouladu</w:t>
      </w:r>
    </w:p>
    <w:p w14:paraId="52C1A0C0" w14:textId="77777777" w:rsidR="00ED3A72" w:rsidRPr="00ED3A72" w:rsidRDefault="00ED3A72" w:rsidP="00ED3A72">
      <w:pPr>
        <w:pStyle w:val="Textbezodsazen"/>
        <w:numPr>
          <w:ilvl w:val="0"/>
          <w:numId w:val="44"/>
        </w:numPr>
        <w:rPr>
          <w:bCs/>
        </w:rPr>
      </w:pPr>
      <w:r w:rsidRPr="00ED3A72">
        <w:rPr>
          <w:bCs/>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6940BF10" w14:textId="64C35FAB" w:rsidR="00ED3A72" w:rsidRPr="00ED3A72" w:rsidRDefault="00ED3A72" w:rsidP="00ED3A72">
      <w:pPr>
        <w:pStyle w:val="Textbezodsazen"/>
        <w:numPr>
          <w:ilvl w:val="1"/>
          <w:numId w:val="44"/>
        </w:numPr>
        <w:rPr>
          <w:bCs/>
        </w:rPr>
      </w:pPr>
      <w:r w:rsidRPr="00ED3A72">
        <w:rPr>
          <w:bCs/>
        </w:rPr>
        <w:t>identifikace potřeby a realizace změn stavby proti PDPS</w:t>
      </w:r>
    </w:p>
    <w:p w14:paraId="73EEB66E" w14:textId="77777777" w:rsidR="00ED3A72" w:rsidRPr="00ED3A72" w:rsidRDefault="00ED3A72" w:rsidP="00ED3A72">
      <w:pPr>
        <w:pStyle w:val="Textbezodsazen"/>
        <w:numPr>
          <w:ilvl w:val="1"/>
          <w:numId w:val="44"/>
        </w:numPr>
        <w:rPr>
          <w:bCs/>
        </w:rPr>
      </w:pPr>
      <w:r w:rsidRPr="00ED3A72">
        <w:rPr>
          <w:bCs/>
        </w:rPr>
        <w:t>prověřování a potvrzování zdůvodněné potřeby vzniku méněprací a víceprací; písemná stanoviska k jednotlivým případům</w:t>
      </w:r>
    </w:p>
    <w:p w14:paraId="27D99033" w14:textId="77777777" w:rsidR="00ED3A72" w:rsidRPr="00ED3A72" w:rsidRDefault="00ED3A72" w:rsidP="00ED3A72">
      <w:pPr>
        <w:pStyle w:val="Textbezodsazen"/>
        <w:numPr>
          <w:ilvl w:val="1"/>
          <w:numId w:val="44"/>
        </w:numPr>
        <w:rPr>
          <w:bCs/>
        </w:rPr>
      </w:pPr>
      <w:r w:rsidRPr="00ED3A72">
        <w:rPr>
          <w:bCs/>
        </w:rPr>
        <w:t xml:space="preserve">posouzení </w:t>
      </w:r>
      <w:proofErr w:type="spellStart"/>
      <w:r w:rsidRPr="00ED3A72">
        <w:rPr>
          <w:bCs/>
        </w:rPr>
        <w:t>nárokovosti</w:t>
      </w:r>
      <w:proofErr w:type="spellEnd"/>
      <w:r w:rsidRPr="00ED3A72">
        <w:rPr>
          <w:bCs/>
        </w:rPr>
        <w:t xml:space="preserve"> na časový a finanční </w:t>
      </w:r>
      <w:proofErr w:type="spellStart"/>
      <w:r w:rsidRPr="00ED3A72">
        <w:rPr>
          <w:bCs/>
        </w:rPr>
        <w:t>Claim</w:t>
      </w:r>
      <w:proofErr w:type="spellEnd"/>
    </w:p>
    <w:p w14:paraId="607DC047" w14:textId="77777777" w:rsidR="00ED3A72" w:rsidRPr="00ED3A72" w:rsidRDefault="00ED3A72" w:rsidP="00ED3A72">
      <w:pPr>
        <w:pStyle w:val="Textbezodsazen"/>
        <w:numPr>
          <w:ilvl w:val="1"/>
          <w:numId w:val="44"/>
        </w:numPr>
        <w:rPr>
          <w:bCs/>
        </w:rPr>
      </w:pPr>
      <w:r w:rsidRPr="00ED3A72">
        <w:rPr>
          <w:bCs/>
        </w:rPr>
        <w:t>kontrola efektivního, a především ekonomického řešení víceprací dle návrhu zhotovitele stavby; důsledná kontrola rozpočtů víceprací předkládaná zhotovitelem</w:t>
      </w:r>
    </w:p>
    <w:p w14:paraId="53465622" w14:textId="77777777" w:rsidR="00ED3A72" w:rsidRPr="00ED3A72" w:rsidRDefault="00ED3A72" w:rsidP="00ED3A72">
      <w:pPr>
        <w:pStyle w:val="Textbezodsazen"/>
        <w:numPr>
          <w:ilvl w:val="1"/>
          <w:numId w:val="44"/>
        </w:numPr>
        <w:rPr>
          <w:bCs/>
        </w:rPr>
      </w:pPr>
      <w:r w:rsidRPr="00ED3A72">
        <w:rPr>
          <w:bCs/>
        </w:rPr>
        <w:t>součinnost a poskytování odborných stanovisek až k finálnímu projednání jednotlivých víceprací na stavbě (k rozhodnutí o vzniku vícepráce; ke změnovým listům – jejich zdůvodnění a vypořádání;</w:t>
      </w:r>
      <w:r w:rsidRPr="00ED3A72">
        <w:rPr>
          <w:bCs/>
        </w:rPr>
        <w:br/>
        <w:t>změnová řízení stavby budou prováděna cestou Změnových listů dle Směrnice SŽDC č. 105 "Změny během výstavby", v platném znění)</w:t>
      </w:r>
    </w:p>
    <w:p w14:paraId="4C63373C" w14:textId="77777777" w:rsidR="00ED3A72" w:rsidRPr="00ED3A72" w:rsidRDefault="00ED3A72" w:rsidP="00ED3A72">
      <w:pPr>
        <w:pStyle w:val="Textbezodsazen"/>
        <w:numPr>
          <w:ilvl w:val="1"/>
          <w:numId w:val="44"/>
        </w:numPr>
        <w:rPr>
          <w:bCs/>
        </w:rPr>
      </w:pPr>
      <w:r w:rsidRPr="00ED3A72">
        <w:rPr>
          <w:bCs/>
        </w:rPr>
        <w:t>důsledná, důkladná a podrobná kontrola realizace schválených víceprací</w:t>
      </w:r>
    </w:p>
    <w:p w14:paraId="154ACD52" w14:textId="77777777" w:rsidR="00ED3A72" w:rsidRPr="00ED3A72" w:rsidRDefault="00ED3A72" w:rsidP="00ED3A72">
      <w:pPr>
        <w:pStyle w:val="Textbezodsazen"/>
      </w:pPr>
    </w:p>
    <w:p w14:paraId="71B37211" w14:textId="77777777" w:rsidR="00ED3A72" w:rsidRPr="00ED3A72" w:rsidRDefault="00ED3A72" w:rsidP="00ED3A72">
      <w:pPr>
        <w:pStyle w:val="Textbezodsazen"/>
      </w:pPr>
      <w:r w:rsidRPr="00ED3A72">
        <w:t>Dílčí plnění – měsíčně na základě výkazu provedené a Správcem stavby (TDS) potvrzené činnosti.</w:t>
      </w:r>
    </w:p>
    <w:p w14:paraId="1C3A7819" w14:textId="0B61728A" w:rsidR="00F1246E" w:rsidRPr="00F1246E" w:rsidRDefault="00ED3A72" w:rsidP="00ED3A72">
      <w:pPr>
        <w:pStyle w:val="Textbezodsazen"/>
      </w:pPr>
      <w:r w:rsidRPr="00ED3A72">
        <w:rPr>
          <w:u w:val="single"/>
        </w:rPr>
        <w:t>Písemná stanoviska budou předávána nejpozději do 10 dnů od předání požadavku Správce stavby (TDS) k vyjádření.</w:t>
      </w: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045DEFD8" w14:textId="4ECC3FC4" w:rsidR="00ED3A72" w:rsidRPr="00CF101E" w:rsidRDefault="00ED3A72" w:rsidP="00ED3A72">
      <w:pPr>
        <w:spacing w:after="60" w:line="240" w:lineRule="auto"/>
        <w:rPr>
          <w:rFonts w:eastAsia="Times New Roman" w:cs="Times New Roman"/>
          <w:lang w:eastAsia="cs-CZ"/>
        </w:rPr>
      </w:pPr>
      <w:r w:rsidRPr="00CF101E">
        <w:rPr>
          <w:rFonts w:eastAsia="Times New Roman" w:cs="Times New Roman"/>
          <w:lang w:eastAsia="cs-CZ"/>
        </w:rPr>
        <w:t xml:space="preserve">Jednotlivé prvky předmětu plnění dle </w:t>
      </w:r>
      <w:r>
        <w:rPr>
          <w:rFonts w:eastAsia="Times New Roman" w:cs="Times New Roman"/>
          <w:lang w:eastAsia="cs-CZ"/>
        </w:rPr>
        <w:t xml:space="preserve">přílohy č. 1 této smlouvy </w:t>
      </w:r>
      <w:r w:rsidRPr="00CF101E">
        <w:rPr>
          <w:rFonts w:eastAsia="Times New Roman" w:cs="Times New Roman"/>
          <w:lang w:eastAsia="cs-CZ"/>
        </w:rPr>
        <w:t>především ve formě fyzicky pořízeného výsledku (zpráva, vyjádření, stanovisko, protokol), budou předány objednateli:</w:t>
      </w:r>
    </w:p>
    <w:p w14:paraId="22C6F3C8" w14:textId="77777777" w:rsidR="00ED3A72" w:rsidRPr="00CF101E" w:rsidRDefault="00ED3A72" w:rsidP="00ED3A72">
      <w:pPr>
        <w:numPr>
          <w:ilvl w:val="0"/>
          <w:numId w:val="45"/>
        </w:numPr>
        <w:spacing w:after="0" w:line="240" w:lineRule="auto"/>
        <w:ind w:left="426"/>
        <w:rPr>
          <w:rFonts w:eastAsia="Times New Roman" w:cs="Times New Roman"/>
          <w:lang w:eastAsia="cs-CZ"/>
        </w:rPr>
      </w:pPr>
      <w:r w:rsidRPr="00CF101E">
        <w:rPr>
          <w:rFonts w:eastAsia="Times New Roman" w:cs="Times New Roman"/>
          <w:lang w:eastAsia="cs-CZ"/>
        </w:rPr>
        <w:t xml:space="preserve">v tištěné listinné podobě vždy nejméně ve </w:t>
      </w:r>
      <w:r w:rsidRPr="00CF101E">
        <w:rPr>
          <w:rFonts w:eastAsia="Times New Roman" w:cs="Times New Roman"/>
          <w:b/>
          <w:lang w:eastAsia="cs-CZ"/>
        </w:rPr>
        <w:t>2 vyhotoveních</w:t>
      </w:r>
    </w:p>
    <w:p w14:paraId="45830FFB" w14:textId="77777777" w:rsidR="00ED3A72" w:rsidRPr="00CF101E" w:rsidRDefault="00ED3A72" w:rsidP="00ED3A72">
      <w:pPr>
        <w:numPr>
          <w:ilvl w:val="0"/>
          <w:numId w:val="45"/>
        </w:numPr>
        <w:spacing w:after="0" w:line="240" w:lineRule="auto"/>
        <w:rPr>
          <w:rFonts w:eastAsia="Times New Roman" w:cs="Times New Roman"/>
          <w:lang w:eastAsia="cs-CZ"/>
        </w:rPr>
      </w:pPr>
      <w:r w:rsidRPr="00CF101E">
        <w:rPr>
          <w:rFonts w:eastAsia="Times New Roman" w:cs="Times New Roman"/>
          <w:lang w:eastAsia="cs-CZ"/>
        </w:rPr>
        <w:lastRenderedPageBreak/>
        <w:t xml:space="preserve">v digitální elektronické formě na vhodném elektronickém kompatibilním nosiči </w:t>
      </w:r>
      <w:r w:rsidRPr="00CF101E">
        <w:rPr>
          <w:rFonts w:eastAsia="Times New Roman" w:cs="Times New Roman"/>
          <w:b/>
          <w:lang w:eastAsia="cs-CZ"/>
        </w:rPr>
        <w:t>v 1 vyhotovení</w:t>
      </w:r>
      <w:r w:rsidRPr="00CF101E">
        <w:rPr>
          <w:rFonts w:eastAsia="Times New Roman" w:cs="Times New Roman"/>
          <w:lang w:eastAsia="cs-CZ"/>
        </w:rPr>
        <w:t xml:space="preserve"> v dohodnutém editovatelném formátu (tzv. otevřená podoba)</w:t>
      </w:r>
    </w:p>
    <w:p w14:paraId="5008DF3B" w14:textId="1486A1B6" w:rsidR="00ED3A72" w:rsidRPr="00CF101E" w:rsidRDefault="00ED3A72" w:rsidP="00ED3A72">
      <w:pPr>
        <w:numPr>
          <w:ilvl w:val="0"/>
          <w:numId w:val="45"/>
        </w:numPr>
        <w:spacing w:after="0" w:line="240" w:lineRule="auto"/>
        <w:rPr>
          <w:rFonts w:eastAsia="Times New Roman" w:cs="Times New Roman"/>
          <w:lang w:eastAsia="cs-CZ"/>
        </w:rPr>
      </w:pPr>
      <w:r w:rsidRPr="00CF101E">
        <w:rPr>
          <w:rFonts w:eastAsia="Times New Roman" w:cs="Times New Roman"/>
          <w:lang w:eastAsia="cs-CZ"/>
        </w:rPr>
        <w:t>termíny dle dohody s</w:t>
      </w:r>
      <w:r>
        <w:rPr>
          <w:rFonts w:eastAsia="Times New Roman" w:cs="Times New Roman"/>
          <w:lang w:eastAsia="cs-CZ"/>
        </w:rPr>
        <w:t>e Správcem stavby (</w:t>
      </w:r>
      <w:r w:rsidRPr="00CF101E">
        <w:rPr>
          <w:rFonts w:eastAsia="Times New Roman" w:cs="Times New Roman"/>
          <w:lang w:eastAsia="cs-CZ"/>
        </w:rPr>
        <w:t>TDS</w:t>
      </w:r>
      <w:r>
        <w:rPr>
          <w:rFonts w:eastAsia="Times New Roman" w:cs="Times New Roman"/>
          <w:lang w:eastAsia="cs-CZ"/>
        </w:rPr>
        <w:t>)</w:t>
      </w:r>
      <w:r w:rsidRPr="00CF101E">
        <w:rPr>
          <w:rFonts w:eastAsia="Times New Roman" w:cs="Times New Roman"/>
          <w:lang w:eastAsia="cs-CZ"/>
        </w:rPr>
        <w:t xml:space="preserve"> (nejpozději v souladu s</w:t>
      </w:r>
      <w:r>
        <w:rPr>
          <w:rFonts w:eastAsia="Times New Roman" w:cs="Times New Roman"/>
          <w:lang w:eastAsia="cs-CZ"/>
        </w:rPr>
        <w:t> přílohou č. 5 této smlouvy</w:t>
      </w:r>
      <w:r w:rsidRPr="00CF101E">
        <w:rPr>
          <w:rFonts w:eastAsia="Times New Roman" w:cs="Times New Roman"/>
          <w:lang w:eastAsia="cs-CZ"/>
        </w:rPr>
        <w:t>)</w:t>
      </w:r>
    </w:p>
    <w:p w14:paraId="7F68CC79" w14:textId="77777777" w:rsidR="00ED3A72" w:rsidRPr="00CF101E" w:rsidRDefault="00ED3A72" w:rsidP="00ED3A72">
      <w:pPr>
        <w:spacing w:after="0" w:line="240" w:lineRule="auto"/>
        <w:ind w:left="360"/>
        <w:rPr>
          <w:rFonts w:eastAsia="Times New Roman" w:cs="Times New Roman"/>
          <w:lang w:eastAsia="cs-CZ"/>
        </w:rPr>
      </w:pPr>
    </w:p>
    <w:p w14:paraId="72792954" w14:textId="77777777" w:rsidR="00ED3A72" w:rsidRDefault="00ED3A72" w:rsidP="00ED3A72">
      <w:pPr>
        <w:spacing w:after="0" w:line="240" w:lineRule="auto"/>
        <w:ind w:left="360"/>
        <w:rPr>
          <w:rFonts w:eastAsia="Times New Roman" w:cs="Times New Roman"/>
          <w:u w:val="single"/>
          <w:lang w:eastAsia="cs-CZ"/>
        </w:rPr>
      </w:pPr>
      <w:r w:rsidRPr="00CF101E">
        <w:rPr>
          <w:rFonts w:eastAsia="Times New Roman" w:cs="Times New Roman"/>
          <w:u w:val="single"/>
          <w:lang w:eastAsia="cs-CZ"/>
        </w:rPr>
        <w:t xml:space="preserve">Doklady, které budou dodávány </w:t>
      </w:r>
      <w:r>
        <w:rPr>
          <w:rFonts w:eastAsia="Times New Roman" w:cs="Times New Roman"/>
          <w:u w:val="single"/>
          <w:lang w:eastAsia="cs-CZ"/>
        </w:rPr>
        <w:t>Správci stavby (</w:t>
      </w:r>
      <w:r w:rsidRPr="00CF101E">
        <w:rPr>
          <w:rFonts w:eastAsia="Times New Roman" w:cs="Times New Roman"/>
          <w:u w:val="single"/>
          <w:lang w:eastAsia="cs-CZ"/>
        </w:rPr>
        <w:t>TDS</w:t>
      </w:r>
      <w:r>
        <w:rPr>
          <w:rFonts w:eastAsia="Times New Roman" w:cs="Times New Roman"/>
          <w:u w:val="single"/>
          <w:lang w:eastAsia="cs-CZ"/>
        </w:rPr>
        <w:t>)</w:t>
      </w:r>
      <w:r w:rsidRPr="00CF101E">
        <w:rPr>
          <w:rFonts w:eastAsia="Times New Roman" w:cs="Times New Roman"/>
          <w:u w:val="single"/>
          <w:lang w:eastAsia="cs-CZ"/>
        </w:rPr>
        <w:t xml:space="preserve"> s měsíční periodicitou:</w:t>
      </w:r>
    </w:p>
    <w:p w14:paraId="2D336098" w14:textId="77777777" w:rsidR="00ED3A72" w:rsidRDefault="00ED3A72" w:rsidP="00ED3A72">
      <w:pPr>
        <w:spacing w:after="0" w:line="240" w:lineRule="auto"/>
        <w:ind w:left="360"/>
        <w:rPr>
          <w:rFonts w:eastAsia="Times New Roman" w:cs="Times New Roman"/>
          <w:u w:val="single"/>
          <w:lang w:eastAsia="cs-CZ"/>
        </w:rPr>
      </w:pPr>
    </w:p>
    <w:p w14:paraId="270D8269" w14:textId="77777777" w:rsidR="00ED3A72" w:rsidRPr="00F7589A" w:rsidRDefault="00ED3A72" w:rsidP="00ED3A72">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4C50ABCB" w14:textId="77777777" w:rsidR="00ED3A72" w:rsidRPr="00F7589A" w:rsidRDefault="00ED3A72" w:rsidP="00ED3A72">
      <w:pPr>
        <w:numPr>
          <w:ilvl w:val="0"/>
          <w:numId w:val="46"/>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4DDB66AF" w14:textId="77777777" w:rsidR="00ED3A72" w:rsidRPr="00F7589A" w:rsidRDefault="00ED3A72" w:rsidP="00ED3A72">
      <w:pPr>
        <w:numPr>
          <w:ilvl w:val="1"/>
          <w:numId w:val="46"/>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74FF1C8A" w14:textId="77777777" w:rsidR="00ED3A72" w:rsidRPr="00F7589A" w:rsidRDefault="00ED3A72" w:rsidP="00ED3A72">
      <w:pPr>
        <w:numPr>
          <w:ilvl w:val="1"/>
          <w:numId w:val="46"/>
        </w:numPr>
        <w:spacing w:after="0" w:line="240" w:lineRule="auto"/>
        <w:rPr>
          <w:rFonts w:eastAsia="Times New Roman" w:cs="Arial"/>
          <w:lang w:eastAsia="cs-CZ"/>
        </w:rPr>
      </w:pPr>
      <w:r w:rsidRPr="00F7589A">
        <w:rPr>
          <w:rFonts w:eastAsia="Times New Roman" w:cs="Arial"/>
          <w:lang w:eastAsia="cs-CZ"/>
        </w:rPr>
        <w:t>Soulad se schváleným HMG stavby</w:t>
      </w:r>
    </w:p>
    <w:p w14:paraId="79F6D995" w14:textId="77777777" w:rsidR="00ED3A72" w:rsidRPr="00F7589A" w:rsidRDefault="00ED3A72" w:rsidP="00ED3A72">
      <w:pPr>
        <w:numPr>
          <w:ilvl w:val="1"/>
          <w:numId w:val="46"/>
        </w:numPr>
        <w:spacing w:after="0" w:line="240" w:lineRule="auto"/>
        <w:rPr>
          <w:rFonts w:eastAsia="Times New Roman" w:cs="Arial"/>
          <w:lang w:eastAsia="cs-CZ"/>
        </w:rPr>
      </w:pPr>
      <w:r w:rsidRPr="00F7589A">
        <w:rPr>
          <w:rFonts w:eastAsia="Times New Roman" w:cs="Arial"/>
          <w:lang w:eastAsia="cs-CZ"/>
        </w:rPr>
        <w:t>Fakturace stavby</w:t>
      </w:r>
    </w:p>
    <w:p w14:paraId="0E062849" w14:textId="77777777" w:rsidR="00ED3A72" w:rsidRPr="00F7589A" w:rsidRDefault="00ED3A72" w:rsidP="00ED3A72">
      <w:pPr>
        <w:numPr>
          <w:ilvl w:val="1"/>
          <w:numId w:val="46"/>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1D443570" w14:textId="77777777" w:rsidR="00ED3A72" w:rsidRPr="00F7589A" w:rsidRDefault="00ED3A72" w:rsidP="00ED3A72">
      <w:pPr>
        <w:numPr>
          <w:ilvl w:val="1"/>
          <w:numId w:val="46"/>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5CC2D703" w14:textId="77777777" w:rsidR="00ED3A72" w:rsidRDefault="00ED3A72" w:rsidP="00ED3A72">
      <w:pPr>
        <w:numPr>
          <w:ilvl w:val="1"/>
          <w:numId w:val="46"/>
        </w:numPr>
        <w:spacing w:after="0" w:line="240" w:lineRule="auto"/>
        <w:rPr>
          <w:rFonts w:eastAsia="Times New Roman" w:cs="Arial"/>
          <w:lang w:eastAsia="cs-CZ"/>
        </w:rPr>
      </w:pPr>
      <w:r w:rsidRPr="00F7589A">
        <w:rPr>
          <w:rFonts w:eastAsia="Times New Roman" w:cs="Arial"/>
          <w:lang w:eastAsia="cs-CZ"/>
        </w:rPr>
        <w:t xml:space="preserve">Sledování a řízení změn proti </w:t>
      </w:r>
      <w:r>
        <w:rPr>
          <w:rFonts w:eastAsia="Times New Roman" w:cs="Arial"/>
          <w:lang w:eastAsia="cs-CZ"/>
        </w:rPr>
        <w:t>PDPS</w:t>
      </w:r>
    </w:p>
    <w:p w14:paraId="39BF7950" w14:textId="77777777" w:rsidR="00ED3A72" w:rsidRPr="00F7589A" w:rsidRDefault="00ED3A72" w:rsidP="00ED3A72">
      <w:pPr>
        <w:numPr>
          <w:ilvl w:val="1"/>
          <w:numId w:val="46"/>
        </w:numPr>
        <w:spacing w:after="0" w:line="240" w:lineRule="auto"/>
        <w:rPr>
          <w:rFonts w:eastAsia="Times New Roman" w:cs="Arial"/>
          <w:lang w:eastAsia="cs-CZ"/>
        </w:rPr>
      </w:pPr>
      <w:r w:rsidRPr="00F7589A">
        <w:rPr>
          <w:rFonts w:eastAsia="Times New Roman" w:cs="Arial"/>
          <w:lang w:eastAsia="cs-CZ"/>
        </w:rPr>
        <w:t>Fotodokumentace</w:t>
      </w:r>
    </w:p>
    <w:p w14:paraId="1A780F52" w14:textId="019DC922" w:rsidR="003532A1" w:rsidRPr="00ED3A72" w:rsidRDefault="00ED3A72" w:rsidP="00ED3A72">
      <w:pPr>
        <w:numPr>
          <w:ilvl w:val="1"/>
          <w:numId w:val="46"/>
        </w:numPr>
        <w:spacing w:after="0" w:line="240" w:lineRule="auto"/>
        <w:rPr>
          <w:rFonts w:eastAsia="Times New Roman" w:cs="Arial"/>
          <w:lang w:eastAsia="cs-CZ"/>
        </w:rPr>
      </w:pPr>
      <w:r w:rsidRPr="00F7589A">
        <w:rPr>
          <w:rFonts w:eastAsia="Times New Roman" w:cs="Arial"/>
          <w:lang w:eastAsia="cs-CZ"/>
        </w:rPr>
        <w:t>Financování</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35502819" w:rsidR="00124751" w:rsidRDefault="003532A1" w:rsidP="00124751">
      <w:pPr>
        <w:pStyle w:val="Nadpisbezsl1-2"/>
      </w:pPr>
      <w:r>
        <w:t>OP/SSV/</w:t>
      </w:r>
      <w:r w:rsidR="00EA490D">
        <w:t>06/24</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4658A">
        <w:rPr>
          <w:rFonts w:asciiTheme="minorHAnsi" w:hAnsiTheme="minorHAnsi"/>
          <w:b w:val="0"/>
          <w:sz w:val="18"/>
          <w:szCs w:val="18"/>
        </w:rPr>
        <w:t>ust</w:t>
      </w:r>
      <w:proofErr w:type="spellEnd"/>
      <w:r w:rsidRPr="0084658A">
        <w:rPr>
          <w:rFonts w:asciiTheme="minorHAnsi" w:hAnsiTheme="minorHAnsi"/>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EA49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EA490D">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EA490D">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315D9F61" w14:textId="77777777" w:rsidR="00EA490D" w:rsidRPr="00B64D35" w:rsidRDefault="00EA490D" w:rsidP="00EA490D">
      <w:pPr>
        <w:spacing w:after="0" w:line="240" w:lineRule="auto"/>
        <w:ind w:left="426"/>
        <w:rPr>
          <w:rFonts w:eastAsia="Times New Roman" w:cs="Arial"/>
          <w:b/>
          <w:lang w:eastAsia="cs-CZ"/>
        </w:rPr>
      </w:pPr>
      <w:proofErr w:type="gramStart"/>
      <w:r w:rsidRPr="00B64D35">
        <w:rPr>
          <w:rFonts w:eastAsia="Times New Roman" w:cs="Arial"/>
          <w:b/>
          <w:lang w:eastAsia="cs-CZ"/>
        </w:rPr>
        <w:t>Tabulka - Předpokládaný</w:t>
      </w:r>
      <w:proofErr w:type="gramEnd"/>
      <w:r w:rsidRPr="00B64D35">
        <w:rPr>
          <w:rFonts w:eastAsia="Times New Roman" w:cs="Arial"/>
          <w:b/>
          <w:lang w:eastAsia="cs-CZ"/>
        </w:rPr>
        <w:t xml:space="preserve"> rozsah prací</w:t>
      </w:r>
    </w:p>
    <w:p w14:paraId="6FB80EFF" w14:textId="77777777" w:rsidR="00EA490D" w:rsidRPr="00B64D35" w:rsidRDefault="00EA490D" w:rsidP="00EA490D">
      <w:pPr>
        <w:spacing w:after="0" w:line="240" w:lineRule="auto"/>
        <w:rPr>
          <w:rFonts w:eastAsia="Times New Roman" w:cs="Arial"/>
          <w:b/>
          <w:lang w:eastAsia="cs-CZ"/>
        </w:rPr>
      </w:pPr>
    </w:p>
    <w:tbl>
      <w:tblPr>
        <w:tblW w:w="8222" w:type="dxa"/>
        <w:tblInd w:w="137" w:type="dxa"/>
        <w:tblLayout w:type="fixed"/>
        <w:tblCellMar>
          <w:left w:w="0" w:type="dxa"/>
          <w:right w:w="0" w:type="dxa"/>
        </w:tblCellMar>
        <w:tblLook w:val="04A0" w:firstRow="1" w:lastRow="0" w:firstColumn="1" w:lastColumn="0" w:noHBand="0" w:noVBand="1"/>
      </w:tblPr>
      <w:tblGrid>
        <w:gridCol w:w="1701"/>
        <w:gridCol w:w="1134"/>
        <w:gridCol w:w="1701"/>
        <w:gridCol w:w="1484"/>
        <w:gridCol w:w="2202"/>
      </w:tblGrid>
      <w:tr w:rsidR="00EA490D" w:rsidRPr="00B64D35" w14:paraId="22DE7BE0" w14:textId="77777777" w:rsidTr="00C27FFB">
        <w:trPr>
          <w:trHeight w:val="47"/>
        </w:trPr>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32446C6" w14:textId="77777777" w:rsidR="00EA490D" w:rsidRPr="00B64D35" w:rsidRDefault="00EA490D" w:rsidP="00C27FFB">
            <w:pPr>
              <w:spacing w:after="0" w:line="240" w:lineRule="auto"/>
              <w:rPr>
                <w:rFonts w:eastAsia="Times New Roman" w:cs="Arial"/>
                <w:b/>
                <w:bCs/>
                <w:lang w:eastAsia="cs-CZ"/>
              </w:rPr>
            </w:pPr>
            <w:r w:rsidRPr="00B64D35">
              <w:rPr>
                <w:rFonts w:eastAsia="Times New Roman" w:cs="Arial"/>
                <w:b/>
                <w:bCs/>
                <w:lang w:eastAsia="cs-CZ"/>
              </w:rPr>
              <w:t>Činnost</w:t>
            </w:r>
          </w:p>
        </w:tc>
        <w:tc>
          <w:tcPr>
            <w:tcW w:w="1134" w:type="dxa"/>
            <w:tcBorders>
              <w:top w:val="single" w:sz="4" w:space="0" w:color="auto"/>
              <w:left w:val="nil"/>
              <w:bottom w:val="single" w:sz="4" w:space="0" w:color="auto"/>
              <w:right w:val="single" w:sz="4" w:space="0" w:color="auto"/>
            </w:tcBorders>
            <w:hideMark/>
          </w:tcPr>
          <w:p w14:paraId="21BBD068" w14:textId="77777777" w:rsidR="00EA490D" w:rsidRPr="00B64D35" w:rsidRDefault="00EA490D" w:rsidP="00C27FFB">
            <w:pPr>
              <w:spacing w:after="0" w:line="240" w:lineRule="auto"/>
              <w:rPr>
                <w:rFonts w:eastAsia="Times New Roman" w:cs="Arial"/>
                <w:b/>
                <w:bCs/>
                <w:lang w:eastAsia="cs-CZ"/>
              </w:rPr>
            </w:pPr>
            <w:r w:rsidRPr="00B64D35">
              <w:rPr>
                <w:rFonts w:eastAsia="Times New Roman" w:cs="Arial"/>
                <w:b/>
                <w:bCs/>
                <w:lang w:eastAsia="cs-CZ"/>
              </w:rPr>
              <w:t>Jednotky</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D36DB48" w14:textId="77777777" w:rsidR="00EA490D" w:rsidRPr="00B64D35" w:rsidRDefault="00EA490D" w:rsidP="00C27FFB">
            <w:pPr>
              <w:spacing w:after="0" w:line="240" w:lineRule="auto"/>
              <w:rPr>
                <w:rFonts w:eastAsia="Times New Roman" w:cs="Arial"/>
                <w:b/>
                <w:bCs/>
                <w:lang w:eastAsia="cs-CZ"/>
              </w:rPr>
            </w:pPr>
            <w:r w:rsidRPr="00B64D35">
              <w:rPr>
                <w:rFonts w:eastAsia="Times New Roman" w:cs="Arial"/>
                <w:b/>
                <w:bCs/>
                <w:lang w:eastAsia="cs-CZ"/>
              </w:rPr>
              <w:t>Počet jednotek</w:t>
            </w:r>
          </w:p>
        </w:tc>
        <w:tc>
          <w:tcPr>
            <w:tcW w:w="148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C873E28" w14:textId="77777777" w:rsidR="00EA490D" w:rsidRPr="00B64D35" w:rsidRDefault="00EA490D" w:rsidP="00C27FFB">
            <w:pPr>
              <w:spacing w:after="0" w:line="240" w:lineRule="auto"/>
              <w:rPr>
                <w:rFonts w:eastAsia="Times New Roman" w:cs="Arial"/>
                <w:b/>
                <w:bCs/>
                <w:lang w:eastAsia="cs-CZ"/>
              </w:rPr>
            </w:pPr>
            <w:r w:rsidRPr="00B64D35">
              <w:rPr>
                <w:rFonts w:eastAsia="Times New Roman" w:cs="Arial"/>
                <w:b/>
                <w:bCs/>
                <w:lang w:eastAsia="cs-CZ"/>
              </w:rPr>
              <w:t>Jednotková cena v Kč</w:t>
            </w:r>
          </w:p>
        </w:tc>
        <w:tc>
          <w:tcPr>
            <w:tcW w:w="220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B687F09" w14:textId="77777777" w:rsidR="00EA490D" w:rsidRPr="00B64D35" w:rsidRDefault="00EA490D" w:rsidP="00C27FFB">
            <w:pPr>
              <w:spacing w:after="0" w:line="240" w:lineRule="auto"/>
              <w:rPr>
                <w:rFonts w:eastAsia="Times New Roman" w:cs="Arial"/>
                <w:b/>
                <w:bCs/>
                <w:lang w:eastAsia="cs-CZ"/>
              </w:rPr>
            </w:pPr>
            <w:r w:rsidRPr="00B64D35">
              <w:rPr>
                <w:rFonts w:eastAsia="Times New Roman" w:cs="Arial"/>
                <w:b/>
                <w:bCs/>
                <w:lang w:eastAsia="cs-CZ"/>
              </w:rPr>
              <w:t>Celková cena v Kč</w:t>
            </w:r>
          </w:p>
        </w:tc>
      </w:tr>
      <w:tr w:rsidR="00EA490D" w:rsidRPr="00B64D35" w14:paraId="5F4CC1BB" w14:textId="77777777" w:rsidTr="00C27FFB">
        <w:trPr>
          <w:trHeight w:val="57"/>
        </w:trPr>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C4300BD" w14:textId="77777777" w:rsidR="00EA490D" w:rsidRPr="00B64D35" w:rsidRDefault="00EA490D" w:rsidP="00C27FFB">
            <w:pPr>
              <w:spacing w:after="0" w:line="240" w:lineRule="auto"/>
              <w:rPr>
                <w:rFonts w:eastAsia="Times New Roman" w:cs="Arial"/>
                <w:lang w:eastAsia="cs-CZ"/>
              </w:rPr>
            </w:pPr>
            <w:r w:rsidRPr="00B64D35">
              <w:rPr>
                <w:rFonts w:eastAsia="Times New Roman" w:cs="Arial"/>
                <w:lang w:eastAsia="cs-CZ"/>
              </w:rPr>
              <w:t>Výkon TPI</w:t>
            </w:r>
          </w:p>
        </w:tc>
        <w:tc>
          <w:tcPr>
            <w:tcW w:w="1134" w:type="dxa"/>
            <w:tcBorders>
              <w:top w:val="single" w:sz="4" w:space="0" w:color="auto"/>
              <w:left w:val="nil"/>
              <w:bottom w:val="single" w:sz="4" w:space="0" w:color="auto"/>
              <w:right w:val="single" w:sz="4" w:space="0" w:color="auto"/>
            </w:tcBorders>
            <w:hideMark/>
          </w:tcPr>
          <w:p w14:paraId="41802DA0" w14:textId="77777777" w:rsidR="00EA490D" w:rsidRPr="00F54532" w:rsidRDefault="00EA490D" w:rsidP="00C27FFB">
            <w:pPr>
              <w:spacing w:after="0" w:line="240" w:lineRule="auto"/>
              <w:rPr>
                <w:rFonts w:eastAsia="Times New Roman" w:cs="Arial"/>
                <w:lang w:eastAsia="cs-CZ"/>
              </w:rPr>
            </w:pPr>
            <w:r w:rsidRPr="00F54532">
              <w:rPr>
                <w:rFonts w:eastAsia="Times New Roman" w:cs="Arial"/>
                <w:lang w:eastAsia="cs-CZ"/>
              </w:rPr>
              <w:t>hod</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D631A3B" w14:textId="77777777" w:rsidR="00EA490D" w:rsidRPr="00F54532" w:rsidRDefault="00EA490D" w:rsidP="00C27FFB">
            <w:pPr>
              <w:spacing w:after="0" w:line="240" w:lineRule="auto"/>
              <w:rPr>
                <w:rFonts w:eastAsia="Times New Roman" w:cs="Arial"/>
                <w:strike/>
                <w:lang w:eastAsia="cs-CZ"/>
              </w:rPr>
            </w:pPr>
            <w:r>
              <w:rPr>
                <w:rFonts w:eastAsia="Times New Roman" w:cs="Arial"/>
                <w:lang w:eastAsia="cs-CZ"/>
              </w:rPr>
              <w:t>3 192</w:t>
            </w:r>
          </w:p>
        </w:tc>
        <w:tc>
          <w:tcPr>
            <w:tcW w:w="1484" w:type="dxa"/>
            <w:tcBorders>
              <w:top w:val="nil"/>
              <w:left w:val="nil"/>
              <w:bottom w:val="single" w:sz="4" w:space="0" w:color="auto"/>
              <w:right w:val="single" w:sz="4" w:space="0" w:color="auto"/>
            </w:tcBorders>
            <w:noWrap/>
            <w:tcMar>
              <w:top w:w="15" w:type="dxa"/>
              <w:left w:w="15" w:type="dxa"/>
              <w:bottom w:w="0" w:type="dxa"/>
              <w:right w:w="15" w:type="dxa"/>
            </w:tcMar>
          </w:tcPr>
          <w:p w14:paraId="0DF231BD" w14:textId="77777777" w:rsidR="00EA490D" w:rsidRPr="00B64D35" w:rsidRDefault="00EA490D" w:rsidP="00C27FFB">
            <w:pPr>
              <w:spacing w:after="0" w:line="240" w:lineRule="auto"/>
              <w:rPr>
                <w:rFonts w:eastAsia="Times New Roman" w:cs="Arial"/>
                <w:lang w:eastAsia="cs-CZ"/>
              </w:rPr>
            </w:pPr>
          </w:p>
        </w:tc>
        <w:tc>
          <w:tcPr>
            <w:tcW w:w="2202" w:type="dxa"/>
            <w:tcBorders>
              <w:top w:val="nil"/>
              <w:left w:val="nil"/>
              <w:bottom w:val="single" w:sz="4" w:space="0" w:color="auto"/>
              <w:right w:val="single" w:sz="4" w:space="0" w:color="auto"/>
            </w:tcBorders>
            <w:noWrap/>
            <w:tcMar>
              <w:top w:w="15" w:type="dxa"/>
              <w:left w:w="15" w:type="dxa"/>
              <w:bottom w:w="0" w:type="dxa"/>
              <w:right w:w="15" w:type="dxa"/>
            </w:tcMar>
          </w:tcPr>
          <w:p w14:paraId="1F6ACD25" w14:textId="77777777" w:rsidR="00EA490D" w:rsidRPr="00B64D35" w:rsidRDefault="00EA490D" w:rsidP="00C27FFB">
            <w:pPr>
              <w:spacing w:after="0" w:line="240" w:lineRule="auto"/>
              <w:rPr>
                <w:rFonts w:eastAsia="Times New Roman" w:cs="Arial"/>
                <w:lang w:eastAsia="cs-CZ"/>
              </w:rPr>
            </w:pPr>
          </w:p>
        </w:tc>
      </w:tr>
      <w:tr w:rsidR="00EA490D" w:rsidRPr="00B64D35" w14:paraId="1C7B022C" w14:textId="77777777" w:rsidTr="00C27FFB">
        <w:trPr>
          <w:trHeight w:val="57"/>
        </w:trPr>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EB1131B" w14:textId="77777777" w:rsidR="00EA490D" w:rsidRPr="00B64D35" w:rsidRDefault="00EA490D" w:rsidP="00C27FFB">
            <w:pPr>
              <w:spacing w:after="0" w:line="240" w:lineRule="auto"/>
              <w:rPr>
                <w:rFonts w:eastAsia="Times New Roman" w:cs="Arial"/>
                <w:lang w:eastAsia="cs-CZ"/>
              </w:rPr>
            </w:pPr>
            <w:r w:rsidRPr="00B64D35">
              <w:rPr>
                <w:rFonts w:eastAsia="Times New Roman" w:cs="Arial"/>
                <w:lang w:eastAsia="cs-CZ"/>
              </w:rPr>
              <w:t>Celkem</w:t>
            </w:r>
          </w:p>
        </w:tc>
        <w:tc>
          <w:tcPr>
            <w:tcW w:w="1134" w:type="dxa"/>
            <w:tcBorders>
              <w:top w:val="single" w:sz="4" w:space="0" w:color="auto"/>
              <w:left w:val="nil"/>
              <w:bottom w:val="single" w:sz="4" w:space="0" w:color="auto"/>
              <w:right w:val="single" w:sz="4" w:space="0" w:color="auto"/>
            </w:tcBorders>
          </w:tcPr>
          <w:p w14:paraId="0A36A311" w14:textId="77777777" w:rsidR="00EA490D" w:rsidRPr="00B64D35" w:rsidRDefault="00EA490D" w:rsidP="00C27FFB">
            <w:pPr>
              <w:spacing w:after="0" w:line="240" w:lineRule="auto"/>
              <w:rPr>
                <w:rFonts w:eastAsia="Times New Roman" w:cs="Arial"/>
                <w:lang w:eastAsia="cs-CZ"/>
              </w:rPr>
            </w:pPr>
            <w:r>
              <w:rPr>
                <w:rFonts w:eastAsia="Times New Roman" w:cs="Arial"/>
                <w:lang w:eastAsia="cs-CZ"/>
              </w:rPr>
              <w:t>hod</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D1A75C0" w14:textId="77777777" w:rsidR="00EA490D" w:rsidRPr="00FC0A2B" w:rsidRDefault="00EA490D" w:rsidP="00C27FFB">
            <w:pPr>
              <w:spacing w:after="0" w:line="240" w:lineRule="auto"/>
              <w:rPr>
                <w:rFonts w:eastAsia="Times New Roman" w:cs="Arial"/>
                <w:highlight w:val="cyan"/>
                <w:lang w:eastAsia="cs-CZ"/>
              </w:rPr>
            </w:pPr>
            <w:r w:rsidRPr="00FC0A2B">
              <w:rPr>
                <w:rFonts w:eastAsia="Times New Roman" w:cs="Arial"/>
                <w:lang w:eastAsia="cs-CZ"/>
              </w:rPr>
              <w:t xml:space="preserve">3 </w:t>
            </w:r>
            <w:r>
              <w:rPr>
                <w:rFonts w:eastAsia="Times New Roman" w:cs="Arial"/>
                <w:lang w:eastAsia="cs-CZ"/>
              </w:rPr>
              <w:t>192</w:t>
            </w:r>
          </w:p>
        </w:tc>
        <w:tc>
          <w:tcPr>
            <w:tcW w:w="1484" w:type="dxa"/>
            <w:tcBorders>
              <w:top w:val="nil"/>
              <w:left w:val="nil"/>
              <w:bottom w:val="single" w:sz="4" w:space="0" w:color="auto"/>
              <w:right w:val="single" w:sz="4" w:space="0" w:color="auto"/>
            </w:tcBorders>
            <w:noWrap/>
            <w:tcMar>
              <w:top w:w="15" w:type="dxa"/>
              <w:left w:w="15" w:type="dxa"/>
              <w:bottom w:w="0" w:type="dxa"/>
              <w:right w:w="15" w:type="dxa"/>
            </w:tcMar>
          </w:tcPr>
          <w:p w14:paraId="2B2437E5" w14:textId="77777777" w:rsidR="00EA490D" w:rsidRPr="00B64D35" w:rsidRDefault="00EA490D" w:rsidP="00C27FFB">
            <w:pPr>
              <w:spacing w:after="0" w:line="240" w:lineRule="auto"/>
              <w:rPr>
                <w:rFonts w:eastAsia="Times New Roman" w:cs="Arial"/>
                <w:lang w:eastAsia="cs-CZ"/>
              </w:rPr>
            </w:pPr>
          </w:p>
        </w:tc>
        <w:tc>
          <w:tcPr>
            <w:tcW w:w="2202" w:type="dxa"/>
            <w:tcBorders>
              <w:top w:val="nil"/>
              <w:left w:val="nil"/>
              <w:bottom w:val="single" w:sz="4" w:space="0" w:color="auto"/>
              <w:right w:val="single" w:sz="4" w:space="0" w:color="auto"/>
            </w:tcBorders>
            <w:noWrap/>
            <w:tcMar>
              <w:top w:w="15" w:type="dxa"/>
              <w:left w:w="15" w:type="dxa"/>
              <w:bottom w:w="0" w:type="dxa"/>
              <w:right w:w="15" w:type="dxa"/>
            </w:tcMar>
          </w:tcPr>
          <w:p w14:paraId="27810A75" w14:textId="77777777" w:rsidR="00EA490D" w:rsidRPr="00B64D35" w:rsidRDefault="00EA490D" w:rsidP="00C27FFB">
            <w:pPr>
              <w:spacing w:after="0" w:line="240" w:lineRule="auto"/>
              <w:rPr>
                <w:rFonts w:eastAsia="Times New Roman" w:cs="Arial"/>
                <w:lang w:eastAsia="cs-CZ"/>
              </w:rPr>
            </w:pPr>
          </w:p>
        </w:tc>
      </w:tr>
    </w:tbl>
    <w:p w14:paraId="788AD1C7" w14:textId="77777777" w:rsidR="00236DCC" w:rsidRDefault="00236DCC" w:rsidP="00236DCC">
      <w:pPr>
        <w:pStyle w:val="Textbezodsazen"/>
      </w:pPr>
    </w:p>
    <w:p w14:paraId="21836538" w14:textId="77777777" w:rsidR="00EA490D" w:rsidRDefault="00EA490D" w:rsidP="00EA490D">
      <w:r w:rsidRPr="0070153D">
        <w:t xml:space="preserve">*) </w:t>
      </w:r>
      <w:r>
        <w:t>N</w:t>
      </w:r>
      <w:r w:rsidRPr="0070153D">
        <w:t xml:space="preserve">evyplněné údaje </w:t>
      </w:r>
      <w:r w:rsidRPr="00B07650">
        <w:rPr>
          <w:highlight w:val="yellow"/>
        </w:rPr>
        <w:t>V</w:t>
      </w:r>
      <w:r>
        <w:rPr>
          <w:highlight w:val="yellow"/>
        </w:rPr>
        <w:t>LOŽ</w:t>
      </w:r>
      <w:r w:rsidRPr="00B07650">
        <w:rPr>
          <w:highlight w:val="yellow"/>
        </w:rPr>
        <w:t>Í ZHOTOVITEL</w:t>
      </w:r>
      <w:r>
        <w:t xml:space="preserve">. </w:t>
      </w:r>
    </w:p>
    <w:p w14:paraId="48CEE884" w14:textId="77777777" w:rsidR="00EA490D" w:rsidRDefault="00EA490D" w:rsidP="00EA490D">
      <w:pPr>
        <w:pStyle w:val="Textbezodsazen"/>
      </w:pPr>
      <w:r>
        <w:t>C</w:t>
      </w:r>
      <w:r w:rsidRPr="0039365C">
        <w:t>eny jsou uvedené v Kč bez DPH.</w:t>
      </w: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43B9C796" w14:textId="77777777" w:rsidR="00B72613" w:rsidRDefault="00B72613" w:rsidP="00B72613">
      <w:pPr>
        <w:pStyle w:val="Textbezodsazen"/>
      </w:pPr>
    </w:p>
    <w:p w14:paraId="73692FFB" w14:textId="77777777" w:rsidR="00EA490D" w:rsidRDefault="00EA490D" w:rsidP="00ED3A72">
      <w:pPr>
        <w:spacing w:after="0" w:line="240" w:lineRule="auto"/>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Pr>
          <w:rFonts w:eastAsia="Times New Roman" w:cs="Times New Roman"/>
          <w:lang w:eastAsia="cs-CZ"/>
        </w:rPr>
        <w:t>b</w:t>
      </w:r>
      <w:r w:rsidRPr="00F7589A">
        <w:rPr>
          <w:rFonts w:eastAsia="Times New Roman" w:cs="Arial"/>
          <w:lang w:eastAsia="cs-CZ"/>
        </w:rPr>
        <w:t>ezodkladně po nabytí účinnosti smlouvy o výkonu TPI na realizaci stavby</w:t>
      </w:r>
      <w:r>
        <w:rPr>
          <w:rFonts w:eastAsia="Times New Roman" w:cs="Times New Roman"/>
          <w:lang w:eastAsia="cs-CZ"/>
        </w:rPr>
        <w:t>.</w:t>
      </w:r>
    </w:p>
    <w:p w14:paraId="2562A141" w14:textId="77777777" w:rsidR="00EA490D" w:rsidRDefault="00EA490D" w:rsidP="00ED3A72">
      <w:pPr>
        <w:spacing w:after="0" w:line="240" w:lineRule="auto"/>
        <w:jc w:val="both"/>
        <w:rPr>
          <w:rFonts w:eastAsia="Times New Roman" w:cs="Arial"/>
          <w:lang w:eastAsia="cs-CZ"/>
        </w:rPr>
      </w:pPr>
    </w:p>
    <w:p w14:paraId="53D0F1D6" w14:textId="77777777" w:rsidR="00EA490D" w:rsidRPr="00F01FED" w:rsidRDefault="00EA490D" w:rsidP="00ED3A72">
      <w:pPr>
        <w:spacing w:after="0" w:line="240" w:lineRule="auto"/>
        <w:rPr>
          <w:rFonts w:eastAsia="Times New Roman" w:cs="Times New Roman"/>
          <w:b/>
          <w:u w:val="single"/>
          <w:lang w:eastAsia="cs-CZ"/>
        </w:rPr>
      </w:pPr>
      <w:r w:rsidRPr="00F01FED">
        <w:rPr>
          <w:rFonts w:eastAsia="Times New Roman" w:cs="Times New Roman"/>
          <w:b/>
          <w:u w:val="single"/>
          <w:lang w:eastAsia="cs-CZ"/>
        </w:rPr>
        <w:t>Dokončení plnění:</w:t>
      </w:r>
    </w:p>
    <w:p w14:paraId="11DA7390" w14:textId="77777777" w:rsidR="00EA490D" w:rsidRDefault="00EA490D" w:rsidP="00ED3A72">
      <w:pPr>
        <w:spacing w:after="0" w:line="240" w:lineRule="auto"/>
        <w:jc w:val="both"/>
        <w:rPr>
          <w:rFonts w:eastAsia="Times New Roman" w:cs="Times New Roman"/>
          <w:b/>
          <w:highlight w:val="green"/>
          <w:lang w:eastAsia="cs-CZ"/>
        </w:rPr>
      </w:pPr>
      <w:r w:rsidRPr="00AE35D1">
        <w:rPr>
          <w:rFonts w:eastAsia="Times New Roman" w:cs="Arial"/>
          <w:lang w:eastAsia="cs-CZ"/>
        </w:rPr>
        <w:t xml:space="preserve">Činnost TPI bude probíhat při realizaci stavby – předpoklad dle </w:t>
      </w:r>
      <w:r>
        <w:rPr>
          <w:rFonts w:eastAsia="Times New Roman" w:cs="Arial"/>
          <w:lang w:eastAsia="cs-CZ"/>
        </w:rPr>
        <w:t xml:space="preserve">HMG </w:t>
      </w:r>
      <w:r w:rsidRPr="006F221B">
        <w:rPr>
          <w:rFonts w:eastAsia="Times New Roman" w:cs="Arial"/>
          <w:lang w:eastAsia="cs-CZ"/>
        </w:rPr>
        <w:t xml:space="preserve">zadavatele </w:t>
      </w:r>
      <w:r w:rsidRPr="00B3384C">
        <w:rPr>
          <w:rFonts w:eastAsia="Times New Roman" w:cs="Arial"/>
          <w:lang w:eastAsia="cs-CZ"/>
        </w:rPr>
        <w:t xml:space="preserve">od </w:t>
      </w:r>
      <w:r>
        <w:rPr>
          <w:rFonts w:eastAsia="Times New Roman" w:cs="Arial"/>
          <w:lang w:eastAsia="cs-CZ"/>
        </w:rPr>
        <w:t xml:space="preserve">listopadu </w:t>
      </w:r>
      <w:r w:rsidRPr="00C44E44">
        <w:rPr>
          <w:rFonts w:eastAsia="Times New Roman" w:cs="Arial"/>
          <w:lang w:eastAsia="cs-CZ"/>
        </w:rPr>
        <w:t>2025</w:t>
      </w:r>
      <w:r w:rsidRPr="00B3384C">
        <w:rPr>
          <w:rFonts w:eastAsia="Times New Roman" w:cs="Arial"/>
          <w:lang w:eastAsia="cs-CZ"/>
        </w:rPr>
        <w:t xml:space="preserve"> </w:t>
      </w:r>
      <w:r w:rsidRPr="006F221B">
        <w:rPr>
          <w:rFonts w:eastAsia="Times New Roman" w:cs="Arial"/>
          <w:lang w:eastAsia="cs-CZ"/>
        </w:rPr>
        <w:t xml:space="preserve">do konce </w:t>
      </w:r>
      <w:r w:rsidRPr="00C44E44">
        <w:rPr>
          <w:rFonts w:eastAsia="Times New Roman" w:cs="Arial"/>
          <w:lang w:eastAsia="cs-CZ"/>
        </w:rPr>
        <w:t>prosince 2028</w:t>
      </w:r>
      <w:r w:rsidRPr="006F221B">
        <w:rPr>
          <w:rFonts w:eastAsia="Times New Roman" w:cs="Arial"/>
          <w:lang w:eastAsia="cs-CZ"/>
        </w:rPr>
        <w:t xml:space="preserve"> </w:t>
      </w:r>
      <w:r w:rsidRPr="00AE35D1">
        <w:rPr>
          <w:rFonts w:eastAsia="Times New Roman" w:cs="Arial"/>
          <w:lang w:eastAsia="cs-CZ"/>
        </w:rPr>
        <w:t>(3</w:t>
      </w:r>
      <w:r>
        <w:rPr>
          <w:rFonts w:eastAsia="Times New Roman" w:cs="Arial"/>
          <w:lang w:eastAsia="cs-CZ"/>
        </w:rPr>
        <w:t>8</w:t>
      </w:r>
      <w:r w:rsidRPr="00AE35D1">
        <w:rPr>
          <w:rFonts w:eastAsia="Times New Roman" w:cs="Arial"/>
          <w:lang w:eastAsia="cs-CZ"/>
        </w:rPr>
        <w:t xml:space="preserve"> měsíců).</w:t>
      </w:r>
    </w:p>
    <w:p w14:paraId="04902678" w14:textId="77777777" w:rsidR="00EA490D" w:rsidRDefault="00EA490D" w:rsidP="00ED3A72">
      <w:pPr>
        <w:spacing w:after="0" w:line="240" w:lineRule="auto"/>
        <w:rPr>
          <w:rFonts w:eastAsia="Times New Roman" w:cs="Times New Roman"/>
          <w:b/>
          <w:u w:val="single"/>
          <w:lang w:eastAsia="cs-CZ"/>
        </w:rPr>
      </w:pPr>
    </w:p>
    <w:p w14:paraId="29208430" w14:textId="77777777" w:rsidR="00EA490D" w:rsidRPr="00F01FED" w:rsidRDefault="00EA490D" w:rsidP="00ED3A72">
      <w:pPr>
        <w:spacing w:after="0" w:line="240" w:lineRule="auto"/>
        <w:jc w:val="both"/>
        <w:rPr>
          <w:rFonts w:eastAsia="Times New Roman" w:cs="Times New Roman"/>
          <w:b/>
          <w:highlight w:val="green"/>
          <w:lang w:eastAsia="cs-CZ"/>
        </w:rPr>
      </w:pPr>
      <w:r w:rsidRPr="00B92677">
        <w:rPr>
          <w:rFonts w:eastAsia="Times New Roman" w:cs="Arial"/>
          <w:lang w:eastAsia="cs-CZ"/>
        </w:rPr>
        <w:t>Ukončení realizace stavby – ukončená jednání o „předání a převzetí stavby“. Protokoly o předání stavby budou potvrzeny TPI včetně připojení písemného stanoviska.</w:t>
      </w:r>
    </w:p>
    <w:p w14:paraId="5F7C00EC" w14:textId="77777777" w:rsidR="00EA490D" w:rsidRDefault="00EA490D" w:rsidP="00ED3A72">
      <w:pPr>
        <w:spacing w:after="0" w:line="240" w:lineRule="auto"/>
        <w:rPr>
          <w:rFonts w:eastAsia="Times New Roman" w:cs="Times New Roman"/>
          <w:b/>
          <w:u w:val="single"/>
          <w:lang w:eastAsia="cs-CZ"/>
        </w:rPr>
      </w:pPr>
    </w:p>
    <w:p w14:paraId="333C559F" w14:textId="77777777" w:rsidR="00EA490D" w:rsidRPr="00C520FE" w:rsidRDefault="00EA490D" w:rsidP="00ED3A72">
      <w:pPr>
        <w:spacing w:after="0" w:line="240" w:lineRule="auto"/>
        <w:rPr>
          <w:rFonts w:eastAsia="Times New Roman" w:cs="Times New Roman"/>
          <w:b/>
          <w:lang w:eastAsia="cs-CZ"/>
        </w:rPr>
      </w:pPr>
      <w:r w:rsidRPr="00C520FE">
        <w:rPr>
          <w:rFonts w:eastAsia="Times New Roman" w:cs="Times New Roman"/>
          <w:b/>
          <w:lang w:eastAsia="cs-CZ"/>
        </w:rPr>
        <w:t>Předpokládaný rozsah prací: 3 </w:t>
      </w:r>
      <w:r>
        <w:rPr>
          <w:rFonts w:eastAsia="Times New Roman" w:cs="Times New Roman"/>
          <w:b/>
          <w:lang w:eastAsia="cs-CZ"/>
        </w:rPr>
        <w:t>192</w:t>
      </w:r>
      <w:r w:rsidRPr="00C520FE">
        <w:rPr>
          <w:rFonts w:eastAsia="Times New Roman" w:cs="Times New Roman"/>
          <w:b/>
          <w:lang w:eastAsia="cs-CZ"/>
        </w:rPr>
        <w:t xml:space="preserve"> h</w:t>
      </w:r>
    </w:p>
    <w:p w14:paraId="2CAD8037" w14:textId="77777777" w:rsidR="00EA490D" w:rsidRDefault="00EA490D" w:rsidP="00ED3A72">
      <w:pPr>
        <w:spacing w:after="0" w:line="240" w:lineRule="auto"/>
        <w:rPr>
          <w:rFonts w:eastAsia="Times New Roman" w:cs="Times New Roman"/>
          <w:b/>
          <w:u w:val="single"/>
          <w:lang w:eastAsia="cs-CZ"/>
        </w:rPr>
      </w:pPr>
    </w:p>
    <w:p w14:paraId="171C9473" w14:textId="77777777" w:rsidR="00EA490D" w:rsidRDefault="00EA490D" w:rsidP="00ED3A72">
      <w:pPr>
        <w:spacing w:after="0" w:line="240" w:lineRule="auto"/>
        <w:jc w:val="both"/>
        <w:rPr>
          <w:rFonts w:eastAsia="Times New Roman" w:cs="Times New Roman"/>
          <w:bCs/>
          <w:lang w:eastAsia="cs-CZ"/>
        </w:rPr>
      </w:pPr>
      <w:r w:rsidRPr="007E05B1">
        <w:rPr>
          <w:rFonts w:eastAsia="Times New Roman" w:cs="Times New Roman"/>
          <w:bCs/>
          <w:u w:val="single"/>
          <w:lang w:eastAsia="cs-CZ"/>
        </w:rPr>
        <w:t>Fakturace</w:t>
      </w:r>
      <w:r w:rsidRPr="00CF101E">
        <w:rPr>
          <w:rFonts w:eastAsia="Times New Roman" w:cs="Times New Roman"/>
          <w:bCs/>
          <w:lang w:eastAsia="cs-CZ"/>
        </w:rPr>
        <w:t xml:space="preserve">: </w:t>
      </w:r>
      <w:r>
        <w:rPr>
          <w:rFonts w:eastAsia="Times New Roman" w:cs="Times New Roman"/>
          <w:bCs/>
          <w:lang w:eastAsia="cs-CZ"/>
        </w:rPr>
        <w:t>m</w:t>
      </w:r>
      <w:r w:rsidRPr="007E05B1">
        <w:rPr>
          <w:rFonts w:eastAsia="Times New Roman" w:cs="Times New Roman"/>
          <w:bCs/>
          <w:lang w:eastAsia="cs-CZ"/>
        </w:rPr>
        <w:t>ěsíčně</w:t>
      </w:r>
    </w:p>
    <w:p w14:paraId="3E77CAC8" w14:textId="77777777" w:rsidR="00EA490D" w:rsidRPr="00CF101E" w:rsidRDefault="00EA490D" w:rsidP="00ED3A72">
      <w:pPr>
        <w:spacing w:after="0" w:line="240" w:lineRule="auto"/>
        <w:jc w:val="both"/>
        <w:rPr>
          <w:rFonts w:eastAsia="Times New Roman" w:cs="Times New Roman"/>
          <w:bCs/>
          <w:lang w:eastAsia="cs-CZ"/>
        </w:rPr>
      </w:pPr>
      <w:r>
        <w:rPr>
          <w:rFonts w:cs="Arial"/>
        </w:rPr>
        <w:t>Zhotovitel je oprávněn účtovat cenu díla měsíčně, d</w:t>
      </w:r>
      <w:r w:rsidRPr="00F7589A">
        <w:rPr>
          <w:rFonts w:eastAsia="Times New Roman" w:cs="Arial"/>
          <w:lang w:eastAsia="cs-CZ"/>
        </w:rPr>
        <w:t>le počtu odpracovaných hodin.</w:t>
      </w:r>
      <w:r w:rsidRPr="00CF101E">
        <w:rPr>
          <w:rFonts w:eastAsia="Times New Roman" w:cs="Times New Roman"/>
          <w:bCs/>
          <w:lang w:eastAsia="cs-CZ"/>
        </w:rPr>
        <w:t xml:space="preserve"> K faktuře bude přiložen soupis výkonů podle činností, které vykáže zhotovitel TPI a odsouhlasí </w:t>
      </w:r>
      <w:r>
        <w:rPr>
          <w:rFonts w:eastAsia="Times New Roman" w:cs="Times New Roman"/>
          <w:bCs/>
          <w:lang w:eastAsia="cs-CZ"/>
        </w:rPr>
        <w:t>S</w:t>
      </w:r>
      <w:r w:rsidRPr="00CF101E">
        <w:rPr>
          <w:rFonts w:eastAsia="Times New Roman" w:cs="Times New Roman"/>
          <w:bCs/>
          <w:lang w:eastAsia="cs-CZ"/>
        </w:rPr>
        <w:t xml:space="preserve">právce stavby (TDS). Soupis bude obsahovat tyto </w:t>
      </w:r>
      <w:proofErr w:type="gramStart"/>
      <w:r w:rsidRPr="00CF101E">
        <w:rPr>
          <w:rFonts w:eastAsia="Times New Roman" w:cs="Times New Roman"/>
          <w:bCs/>
          <w:lang w:eastAsia="cs-CZ"/>
        </w:rPr>
        <w:t>údaje - datum</w:t>
      </w:r>
      <w:proofErr w:type="gramEnd"/>
      <w:r w:rsidRPr="00CF101E">
        <w:rPr>
          <w:rFonts w:eastAsia="Times New Roman" w:cs="Times New Roman"/>
          <w:bCs/>
          <w:lang w:eastAsia="cs-CZ"/>
        </w:rPr>
        <w:t>, stručný popis činnosti, jméno pracovníka, vykazované množství času, odsouhlasená cena za jednotku času.</w:t>
      </w:r>
    </w:p>
    <w:p w14:paraId="4E4E4DF9" w14:textId="77777777" w:rsidR="00EA490D" w:rsidRDefault="00EA490D"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8714F1">
          <w:headerReference w:type="default" r:id="rId25"/>
          <w:footerReference w:type="default" r:id="rId26"/>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A490D" w:rsidRPr="00F95FBD" w14:paraId="4772827B" w14:textId="77777777" w:rsidTr="00EA490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EA490D" w:rsidRPr="00F95FBD" w:rsidRDefault="00EA490D" w:rsidP="00EA490D">
            <w:pPr>
              <w:pStyle w:val="Tabulka"/>
              <w:rPr>
                <w:rStyle w:val="Nadpisvtabulce"/>
              </w:rPr>
            </w:pPr>
            <w:r w:rsidRPr="00F95FBD">
              <w:rPr>
                <w:rStyle w:val="Nadpisvtabulce"/>
              </w:rPr>
              <w:t>Jméno a příjmení</w:t>
            </w:r>
          </w:p>
        </w:tc>
        <w:tc>
          <w:tcPr>
            <w:tcW w:w="5812" w:type="dxa"/>
            <w:vAlign w:val="center"/>
          </w:tcPr>
          <w:p w14:paraId="47BB5D67" w14:textId="20AA3861" w:rsidR="00EA490D" w:rsidRPr="00CC3EF9" w:rsidRDefault="00EA490D" w:rsidP="00EA490D">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CC3EF9">
              <w:rPr>
                <w:b/>
                <w:bCs/>
                <w:sz w:val="18"/>
              </w:rPr>
              <w:t>Ing. Miroslav Bocák, ředitel Stavební správy východ</w:t>
            </w:r>
          </w:p>
        </w:tc>
      </w:tr>
      <w:tr w:rsidR="00EA490D" w:rsidRPr="00F95FBD" w14:paraId="7E95C1B9" w14:textId="77777777" w:rsidTr="00EA490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EA490D" w:rsidRPr="00F95FBD" w:rsidRDefault="00EA490D" w:rsidP="00EA490D">
            <w:pPr>
              <w:pStyle w:val="Tabulka"/>
              <w:rPr>
                <w:sz w:val="18"/>
              </w:rPr>
            </w:pPr>
            <w:r w:rsidRPr="00F95FBD">
              <w:rPr>
                <w:sz w:val="18"/>
              </w:rPr>
              <w:t>Adresa</w:t>
            </w:r>
          </w:p>
        </w:tc>
        <w:tc>
          <w:tcPr>
            <w:tcW w:w="5812" w:type="dxa"/>
            <w:vAlign w:val="center"/>
          </w:tcPr>
          <w:p w14:paraId="2FCD2197" w14:textId="3D419CE2" w:rsidR="00EA490D" w:rsidRPr="004436EE" w:rsidRDefault="00EA490D" w:rsidP="00EA490D">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Nerudova 773/1, 779 00 Olomouc</w:t>
            </w:r>
          </w:p>
        </w:tc>
      </w:tr>
      <w:tr w:rsidR="00EA490D" w:rsidRPr="00F95FBD" w14:paraId="137C2756" w14:textId="77777777" w:rsidTr="00EA490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EA490D" w:rsidRPr="00F95FBD" w:rsidRDefault="00EA490D" w:rsidP="00EA490D">
            <w:pPr>
              <w:pStyle w:val="Tabulka"/>
              <w:rPr>
                <w:sz w:val="18"/>
              </w:rPr>
            </w:pPr>
            <w:r w:rsidRPr="00F95FBD">
              <w:rPr>
                <w:sz w:val="18"/>
              </w:rPr>
              <w:t>E-mail</w:t>
            </w:r>
          </w:p>
        </w:tc>
        <w:tc>
          <w:tcPr>
            <w:tcW w:w="5812" w:type="dxa"/>
            <w:vAlign w:val="center"/>
          </w:tcPr>
          <w:p w14:paraId="514853B8" w14:textId="192C540F" w:rsidR="00EA490D" w:rsidRPr="004436EE" w:rsidRDefault="00EA490D" w:rsidP="00EA490D">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Bocak@spravazeleznic.cz  </w:t>
            </w:r>
          </w:p>
        </w:tc>
      </w:tr>
      <w:tr w:rsidR="00EA490D" w:rsidRPr="00F95FBD" w14:paraId="61C74B19" w14:textId="77777777" w:rsidTr="00EA490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EA490D" w:rsidRPr="00F95FBD" w:rsidRDefault="00EA490D" w:rsidP="00EA490D">
            <w:pPr>
              <w:pStyle w:val="Tabulka"/>
              <w:rPr>
                <w:sz w:val="18"/>
              </w:rPr>
            </w:pPr>
            <w:r w:rsidRPr="00F95FBD">
              <w:rPr>
                <w:sz w:val="18"/>
              </w:rPr>
              <w:t>Telefon</w:t>
            </w:r>
          </w:p>
        </w:tc>
        <w:tc>
          <w:tcPr>
            <w:tcW w:w="5812" w:type="dxa"/>
            <w:vAlign w:val="center"/>
          </w:tcPr>
          <w:p w14:paraId="1C647875" w14:textId="54A181A4" w:rsidR="00EA490D" w:rsidRPr="004436EE" w:rsidRDefault="00EA490D" w:rsidP="00EA490D">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+420 606 780 184</w:t>
            </w:r>
          </w:p>
        </w:tc>
      </w:tr>
    </w:tbl>
    <w:p w14:paraId="3598E7E2" w14:textId="77777777" w:rsidR="002038D5" w:rsidRDefault="002038D5" w:rsidP="00502690">
      <w:pPr>
        <w:pStyle w:val="Textbezodsazen"/>
      </w:pPr>
    </w:p>
    <w:p w14:paraId="31CE55B2" w14:textId="77777777" w:rsidR="00CC3EF9" w:rsidRPr="00F95FBD" w:rsidRDefault="00CC3EF9" w:rsidP="00CC3EF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C3EF9" w:rsidRPr="00F95FBD" w14:paraId="4527A901" w14:textId="77777777" w:rsidTr="00C27FF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BA4E40" w14:textId="77777777" w:rsidR="00CC3EF9" w:rsidRPr="00F95FBD" w:rsidRDefault="00CC3EF9" w:rsidP="00C27FFB">
            <w:pPr>
              <w:pStyle w:val="Tabulka"/>
              <w:rPr>
                <w:rStyle w:val="Nadpisvtabulce"/>
              </w:rPr>
            </w:pPr>
            <w:r w:rsidRPr="00F95FBD">
              <w:rPr>
                <w:rStyle w:val="Nadpisvtabulce"/>
              </w:rPr>
              <w:t>Jméno a příjmení</w:t>
            </w:r>
          </w:p>
        </w:tc>
        <w:tc>
          <w:tcPr>
            <w:tcW w:w="5812" w:type="dxa"/>
          </w:tcPr>
          <w:p w14:paraId="2D58DD1F" w14:textId="77777777" w:rsidR="00CC3EF9" w:rsidRPr="00CC3EF9" w:rsidRDefault="00CC3EF9" w:rsidP="00C27FFB">
            <w:pPr>
              <w:pStyle w:val="Tabulka"/>
              <w:cnfStyle w:val="100000000000" w:firstRow="1" w:lastRow="0" w:firstColumn="0" w:lastColumn="0" w:oddVBand="0" w:evenVBand="0" w:oddHBand="0" w:evenHBand="0" w:firstRowFirstColumn="0" w:firstRowLastColumn="0" w:lastRowFirstColumn="0" w:lastRowLastColumn="0"/>
              <w:rPr>
                <w:b/>
                <w:bCs/>
                <w:sz w:val="18"/>
              </w:rPr>
            </w:pPr>
            <w:r w:rsidRPr="00CC3EF9">
              <w:rPr>
                <w:b/>
                <w:bCs/>
                <w:sz w:val="18"/>
              </w:rPr>
              <w:t>Mgr. Lucie Zapletalová, právník Stavební správy východ</w:t>
            </w:r>
          </w:p>
        </w:tc>
      </w:tr>
      <w:tr w:rsidR="00CC3EF9" w:rsidRPr="00F95FBD" w14:paraId="11006FF7" w14:textId="77777777" w:rsidTr="00C27FF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B74CA" w14:textId="77777777" w:rsidR="00CC3EF9" w:rsidRPr="00F95FBD" w:rsidRDefault="00CC3EF9" w:rsidP="00C27FFB">
            <w:pPr>
              <w:pStyle w:val="Tabulka"/>
              <w:rPr>
                <w:sz w:val="18"/>
              </w:rPr>
            </w:pPr>
            <w:r w:rsidRPr="00F95FBD">
              <w:rPr>
                <w:sz w:val="18"/>
              </w:rPr>
              <w:t>Adresa</w:t>
            </w:r>
          </w:p>
        </w:tc>
        <w:tc>
          <w:tcPr>
            <w:tcW w:w="5812" w:type="dxa"/>
          </w:tcPr>
          <w:p w14:paraId="0A0C32AB" w14:textId="77777777" w:rsidR="00CC3EF9" w:rsidRPr="004436EE" w:rsidRDefault="00CC3EF9" w:rsidP="00C27FF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CC3EF9" w:rsidRPr="00F95FBD" w14:paraId="662932AF" w14:textId="77777777" w:rsidTr="00C27FF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D3FFCA" w14:textId="77777777" w:rsidR="00CC3EF9" w:rsidRPr="00F95FBD" w:rsidRDefault="00CC3EF9" w:rsidP="00C27FFB">
            <w:pPr>
              <w:pStyle w:val="Tabulka"/>
              <w:rPr>
                <w:sz w:val="18"/>
              </w:rPr>
            </w:pPr>
            <w:r w:rsidRPr="00F95FBD">
              <w:rPr>
                <w:sz w:val="18"/>
              </w:rPr>
              <w:t>E-mail</w:t>
            </w:r>
          </w:p>
        </w:tc>
        <w:tc>
          <w:tcPr>
            <w:tcW w:w="5812" w:type="dxa"/>
          </w:tcPr>
          <w:p w14:paraId="5808D6E7" w14:textId="77777777" w:rsidR="00CC3EF9" w:rsidRPr="003E5E33" w:rsidRDefault="00CC3EF9" w:rsidP="00C27FFB">
            <w:pPr>
              <w:pStyle w:val="Tabulka"/>
              <w:cnfStyle w:val="000000000000" w:firstRow="0" w:lastRow="0" w:firstColumn="0" w:lastColumn="0" w:oddVBand="0" w:evenVBand="0" w:oddHBand="0" w:evenHBand="0" w:firstRowFirstColumn="0" w:firstRowLastColumn="0" w:lastRowFirstColumn="0" w:lastRowLastColumn="0"/>
              <w:rPr>
                <w:sz w:val="18"/>
              </w:rPr>
            </w:pPr>
            <w:r w:rsidRPr="003E5E33">
              <w:rPr>
                <w:sz w:val="18"/>
              </w:rPr>
              <w:t>ZapletalovaL@spravazeleznic.cz</w:t>
            </w:r>
          </w:p>
        </w:tc>
      </w:tr>
      <w:tr w:rsidR="00CC3EF9" w:rsidRPr="00F95FBD" w14:paraId="66A80013" w14:textId="77777777" w:rsidTr="00C27FFB">
        <w:trPr>
          <w:trHeight w:val="23"/>
        </w:trPr>
        <w:tc>
          <w:tcPr>
            <w:cnfStyle w:val="001000000000" w:firstRow="0" w:lastRow="0" w:firstColumn="1" w:lastColumn="0" w:oddVBand="0" w:evenVBand="0" w:oddHBand="0" w:evenHBand="0" w:firstRowFirstColumn="0" w:firstRowLastColumn="0" w:lastRowFirstColumn="0" w:lastRowLastColumn="0"/>
            <w:tcW w:w="3056" w:type="dxa"/>
          </w:tcPr>
          <w:p w14:paraId="558A4A73" w14:textId="77777777" w:rsidR="00CC3EF9" w:rsidRPr="00F95FBD" w:rsidRDefault="00CC3EF9" w:rsidP="00C27FFB">
            <w:pPr>
              <w:pStyle w:val="Tabulka"/>
              <w:rPr>
                <w:sz w:val="18"/>
              </w:rPr>
            </w:pPr>
            <w:r w:rsidRPr="00F95FBD">
              <w:rPr>
                <w:sz w:val="18"/>
              </w:rPr>
              <w:t>Telefon</w:t>
            </w:r>
          </w:p>
        </w:tc>
        <w:tc>
          <w:tcPr>
            <w:tcW w:w="5812" w:type="dxa"/>
          </w:tcPr>
          <w:p w14:paraId="355706AE" w14:textId="77777777" w:rsidR="00CC3EF9" w:rsidRPr="003E5E33" w:rsidRDefault="00CC3EF9" w:rsidP="00C27FFB">
            <w:pPr>
              <w:pStyle w:val="Tabulka"/>
              <w:cnfStyle w:val="000000000000" w:firstRow="0" w:lastRow="0" w:firstColumn="0" w:lastColumn="0" w:oddVBand="0" w:evenVBand="0" w:oddHBand="0" w:evenHBand="0" w:firstRowFirstColumn="0" w:firstRowLastColumn="0" w:lastRowFirstColumn="0" w:lastRowLastColumn="0"/>
              <w:rPr>
                <w:sz w:val="18"/>
              </w:rPr>
            </w:pPr>
            <w:r w:rsidRPr="003E5E33">
              <w:rPr>
                <w:sz w:val="18"/>
              </w:rPr>
              <w:t>+420 720 051 460</w:t>
            </w:r>
          </w:p>
        </w:tc>
      </w:tr>
    </w:tbl>
    <w:p w14:paraId="42070C2D" w14:textId="77777777" w:rsidR="00CC3EF9" w:rsidRPr="00F95FBD" w:rsidRDefault="00CC3EF9"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C3EF9" w:rsidRPr="00F95FBD" w14:paraId="784FBBF6" w14:textId="77777777" w:rsidTr="00CC3E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CC3EF9" w:rsidRPr="00F95FBD" w:rsidRDefault="00CC3EF9" w:rsidP="00CC3EF9">
            <w:pPr>
              <w:pStyle w:val="Tabulka"/>
              <w:rPr>
                <w:rStyle w:val="Nadpisvtabulce"/>
                <w:b w:val="0"/>
              </w:rPr>
            </w:pPr>
            <w:r w:rsidRPr="00F95FBD">
              <w:rPr>
                <w:rStyle w:val="Nadpisvtabulce"/>
                <w:b w:val="0"/>
              </w:rPr>
              <w:t>Jméno a příjmení</w:t>
            </w:r>
          </w:p>
        </w:tc>
        <w:tc>
          <w:tcPr>
            <w:tcW w:w="5812" w:type="dxa"/>
          </w:tcPr>
          <w:p w14:paraId="2763069D" w14:textId="4121636B" w:rsidR="00CC3EF9" w:rsidRPr="00CC3EF9" w:rsidRDefault="00CC3EF9" w:rsidP="00CC3EF9">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CC3EF9">
              <w:rPr>
                <w:b/>
                <w:bCs/>
                <w:sz w:val="18"/>
              </w:rPr>
              <w:t>Ing. Josef Zadina</w:t>
            </w:r>
          </w:p>
        </w:tc>
      </w:tr>
      <w:tr w:rsidR="00CC3EF9" w:rsidRPr="00F95FBD" w14:paraId="20297842" w14:textId="77777777" w:rsidTr="00CC3EF9">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CC3EF9" w:rsidRPr="00F95FBD" w:rsidRDefault="00CC3EF9" w:rsidP="00CC3EF9">
            <w:pPr>
              <w:pStyle w:val="Tabulka"/>
              <w:rPr>
                <w:sz w:val="18"/>
              </w:rPr>
            </w:pPr>
            <w:r w:rsidRPr="00F95FBD">
              <w:rPr>
                <w:sz w:val="18"/>
              </w:rPr>
              <w:t>Adresa</w:t>
            </w:r>
          </w:p>
        </w:tc>
        <w:tc>
          <w:tcPr>
            <w:tcW w:w="5812" w:type="dxa"/>
          </w:tcPr>
          <w:p w14:paraId="5A807659" w14:textId="38EFC674" w:rsidR="00CC3EF9" w:rsidRPr="00EC707C" w:rsidRDefault="00CC3EF9" w:rsidP="00CC3EF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E5E33">
              <w:rPr>
                <w:sz w:val="18"/>
              </w:rPr>
              <w:t>Nerudova 773/1, 779 00 Olomouc</w:t>
            </w:r>
          </w:p>
        </w:tc>
      </w:tr>
      <w:tr w:rsidR="00CC3EF9" w:rsidRPr="00F95FBD" w14:paraId="79C2C44F" w14:textId="77777777" w:rsidTr="00CC3EF9">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CC3EF9" w:rsidRPr="00F95FBD" w:rsidRDefault="00CC3EF9" w:rsidP="00CC3EF9">
            <w:pPr>
              <w:pStyle w:val="Tabulka"/>
              <w:rPr>
                <w:sz w:val="18"/>
              </w:rPr>
            </w:pPr>
            <w:r w:rsidRPr="00F95FBD">
              <w:rPr>
                <w:sz w:val="18"/>
              </w:rPr>
              <w:t>E-mail</w:t>
            </w:r>
          </w:p>
        </w:tc>
        <w:tc>
          <w:tcPr>
            <w:tcW w:w="5812" w:type="dxa"/>
          </w:tcPr>
          <w:p w14:paraId="462785DD" w14:textId="35A37E16" w:rsidR="00CC3EF9" w:rsidRPr="00EC707C" w:rsidRDefault="00090278" w:rsidP="00CC3EF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Z</w:t>
            </w:r>
            <w:r w:rsidR="00CC3EF9" w:rsidRPr="003E5E33">
              <w:rPr>
                <w:sz w:val="18"/>
              </w:rPr>
              <w:t>adina</w:t>
            </w:r>
            <w:r>
              <w:rPr>
                <w:sz w:val="18"/>
              </w:rPr>
              <w:t>J</w:t>
            </w:r>
            <w:r w:rsidR="00CC3EF9" w:rsidRPr="003E5E33">
              <w:rPr>
                <w:sz w:val="18"/>
              </w:rPr>
              <w:t>@spravazeleznic.cz</w:t>
            </w:r>
          </w:p>
        </w:tc>
      </w:tr>
      <w:tr w:rsidR="00CC3EF9" w:rsidRPr="00F95FBD" w14:paraId="66B3C0A5" w14:textId="77777777" w:rsidTr="00CC3EF9">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CC3EF9" w:rsidRPr="00F95FBD" w:rsidRDefault="00CC3EF9" w:rsidP="00CC3EF9">
            <w:pPr>
              <w:pStyle w:val="Tabulka"/>
              <w:rPr>
                <w:sz w:val="18"/>
              </w:rPr>
            </w:pPr>
            <w:r w:rsidRPr="00F95FBD">
              <w:rPr>
                <w:sz w:val="18"/>
              </w:rPr>
              <w:t>Telefon</w:t>
            </w:r>
          </w:p>
        </w:tc>
        <w:tc>
          <w:tcPr>
            <w:tcW w:w="5812" w:type="dxa"/>
          </w:tcPr>
          <w:p w14:paraId="4BA1D8BA" w14:textId="65FB8CDF" w:rsidR="00CC3EF9" w:rsidRPr="00EC707C" w:rsidRDefault="00CC3EF9" w:rsidP="00CC3EF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D2BC3">
              <w:rPr>
                <w:sz w:val="18"/>
              </w:rPr>
              <w:t>+420 724 932 360</w:t>
            </w:r>
          </w:p>
        </w:tc>
      </w:tr>
    </w:tbl>
    <w:p w14:paraId="18F27A99" w14:textId="77777777" w:rsidR="002038D5" w:rsidRPr="00F95FBD" w:rsidRDefault="002038D5" w:rsidP="002038D5">
      <w:pPr>
        <w:pStyle w:val="Textbezodsazen"/>
      </w:pPr>
    </w:p>
    <w:p w14:paraId="2955EE57" w14:textId="70A3C5DF" w:rsidR="002038D5" w:rsidRPr="00CC3EF9" w:rsidRDefault="00CC3EF9" w:rsidP="002038D5">
      <w:pPr>
        <w:pStyle w:val="Nadpistabulky"/>
        <w:rPr>
          <w:rFonts w:asciiTheme="minorHAnsi" w:hAnsiTheme="minorHAnsi"/>
          <w:bCs/>
          <w:sz w:val="18"/>
          <w:szCs w:val="18"/>
        </w:rPr>
      </w:pPr>
      <w:r w:rsidRPr="00CC3EF9">
        <w:rPr>
          <w:bCs/>
          <w:sz w:val="18"/>
        </w:rPr>
        <w:t>Správce stavby (TDS)</w:t>
      </w:r>
    </w:p>
    <w:tbl>
      <w:tblPr>
        <w:tblStyle w:val="Mkatabulky"/>
        <w:tblW w:w="8868" w:type="dxa"/>
        <w:tblLook w:val="04A0" w:firstRow="1" w:lastRow="0" w:firstColumn="1" w:lastColumn="0" w:noHBand="0" w:noVBand="1"/>
      </w:tblPr>
      <w:tblGrid>
        <w:gridCol w:w="3056"/>
        <w:gridCol w:w="5812"/>
      </w:tblGrid>
      <w:tr w:rsidR="002038D5" w:rsidRPr="00F95FBD" w14:paraId="0453F61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5404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E9F678A" w14:textId="24A6EA51" w:rsidR="002038D5" w:rsidRPr="00CC3EF9" w:rsidRDefault="00CC3EF9" w:rsidP="002038D5">
            <w:pPr>
              <w:pStyle w:val="Tabulka"/>
              <w:cnfStyle w:val="100000000000" w:firstRow="1" w:lastRow="0" w:firstColumn="0" w:lastColumn="0" w:oddVBand="0" w:evenVBand="0" w:oddHBand="0" w:evenHBand="0" w:firstRowFirstColumn="0" w:firstRowLastColumn="0" w:lastRowFirstColumn="0" w:lastRowLastColumn="0"/>
              <w:rPr>
                <w:b/>
                <w:bCs/>
                <w:sz w:val="18"/>
              </w:rPr>
            </w:pPr>
            <w:r w:rsidRPr="00CC3EF9">
              <w:rPr>
                <w:b/>
                <w:bCs/>
                <w:sz w:val="18"/>
              </w:rPr>
              <w:t>Ing. Martin Kypr</w:t>
            </w:r>
          </w:p>
        </w:tc>
      </w:tr>
      <w:tr w:rsidR="00CC3EF9" w:rsidRPr="00F95FBD" w14:paraId="7B63AA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15C6B3" w14:textId="77777777" w:rsidR="00CC3EF9" w:rsidRPr="00F95FBD" w:rsidRDefault="00CC3EF9" w:rsidP="00CC3EF9">
            <w:pPr>
              <w:pStyle w:val="Tabulka"/>
              <w:rPr>
                <w:sz w:val="18"/>
              </w:rPr>
            </w:pPr>
            <w:r w:rsidRPr="00F95FBD">
              <w:rPr>
                <w:sz w:val="18"/>
              </w:rPr>
              <w:t>Adresa</w:t>
            </w:r>
          </w:p>
        </w:tc>
        <w:tc>
          <w:tcPr>
            <w:tcW w:w="5812" w:type="dxa"/>
          </w:tcPr>
          <w:p w14:paraId="727486C8" w14:textId="216BDB0A" w:rsidR="00CC3EF9" w:rsidRPr="00EC707C" w:rsidRDefault="00CC3EF9" w:rsidP="00CC3EF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AC3C1C">
              <w:rPr>
                <w:sz w:val="18"/>
              </w:rPr>
              <w:t>Skladištní 1151/27</w:t>
            </w:r>
            <w:r>
              <w:rPr>
                <w:sz w:val="18"/>
              </w:rPr>
              <w:t xml:space="preserve">, 702 00 </w:t>
            </w:r>
            <w:r w:rsidRPr="00AC3C1C">
              <w:rPr>
                <w:sz w:val="18"/>
              </w:rPr>
              <w:t xml:space="preserve">Ostrava </w:t>
            </w:r>
          </w:p>
        </w:tc>
      </w:tr>
      <w:tr w:rsidR="00CC3EF9" w:rsidRPr="00F95FBD" w14:paraId="02C44C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A330A2" w14:textId="77777777" w:rsidR="00CC3EF9" w:rsidRPr="00F95FBD" w:rsidRDefault="00CC3EF9" w:rsidP="00CC3EF9">
            <w:pPr>
              <w:pStyle w:val="Tabulka"/>
              <w:rPr>
                <w:sz w:val="18"/>
              </w:rPr>
            </w:pPr>
            <w:r w:rsidRPr="00F95FBD">
              <w:rPr>
                <w:sz w:val="18"/>
              </w:rPr>
              <w:t>E-mail</w:t>
            </w:r>
          </w:p>
        </w:tc>
        <w:tc>
          <w:tcPr>
            <w:tcW w:w="5812" w:type="dxa"/>
          </w:tcPr>
          <w:p w14:paraId="448D7B69" w14:textId="514899E4" w:rsidR="00CC3EF9" w:rsidRPr="00EC707C" w:rsidRDefault="00CC3EF9" w:rsidP="00CC3EF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Kypr@spravazeleznic.cz</w:t>
            </w:r>
          </w:p>
        </w:tc>
      </w:tr>
      <w:tr w:rsidR="00CC3EF9" w:rsidRPr="00F95FBD" w14:paraId="394FD0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F5BE6" w14:textId="77777777" w:rsidR="00CC3EF9" w:rsidRPr="00F95FBD" w:rsidRDefault="00CC3EF9" w:rsidP="00CC3EF9">
            <w:pPr>
              <w:pStyle w:val="Tabulka"/>
              <w:rPr>
                <w:sz w:val="18"/>
              </w:rPr>
            </w:pPr>
            <w:r w:rsidRPr="00F95FBD">
              <w:rPr>
                <w:sz w:val="18"/>
              </w:rPr>
              <w:t>Telefon</w:t>
            </w:r>
          </w:p>
        </w:tc>
        <w:tc>
          <w:tcPr>
            <w:tcW w:w="5812" w:type="dxa"/>
          </w:tcPr>
          <w:p w14:paraId="2B355D7A" w14:textId="087FFE85" w:rsidR="00CC3EF9" w:rsidRPr="00EC707C" w:rsidRDefault="00CC3EF9" w:rsidP="00CC3EF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+420 </w:t>
            </w:r>
            <w:r w:rsidRPr="00AC3C1C">
              <w:rPr>
                <w:sz w:val="18"/>
              </w:rPr>
              <w:t>724</w:t>
            </w:r>
            <w:r>
              <w:rPr>
                <w:sz w:val="18"/>
              </w:rPr>
              <w:t> </w:t>
            </w:r>
            <w:r w:rsidRPr="00AC3C1C">
              <w:rPr>
                <w:sz w:val="18"/>
              </w:rPr>
              <w:t>932</w:t>
            </w:r>
            <w:r>
              <w:rPr>
                <w:sz w:val="18"/>
              </w:rPr>
              <w:t xml:space="preserve"> </w:t>
            </w:r>
            <w:r w:rsidRPr="00AC3C1C">
              <w:rPr>
                <w:sz w:val="18"/>
              </w:rPr>
              <w:t>322</w:t>
            </w:r>
          </w:p>
        </w:tc>
      </w:tr>
    </w:tbl>
    <w:p w14:paraId="45FB23BC" w14:textId="77777777" w:rsidR="002038D5" w:rsidRPr="00F95FBD" w:rsidRDefault="002038D5"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6F80B791" w:rsidR="00047B05" w:rsidRPr="00047B05" w:rsidRDefault="00047B05" w:rsidP="00165977">
      <w:pPr>
        <w:pStyle w:val="Tabulka"/>
        <w:rPr>
          <w:color w:val="FF0000"/>
        </w:rPr>
      </w:pPr>
    </w:p>
    <w:p w14:paraId="40200FA7" w14:textId="3BB73187" w:rsidR="002038D5" w:rsidRPr="00CC3EF9" w:rsidRDefault="00EC707C" w:rsidP="00165977">
      <w:pPr>
        <w:pStyle w:val="Nadpistabulky"/>
        <w:rPr>
          <w:sz w:val="18"/>
          <w:szCs w:val="18"/>
        </w:rPr>
      </w:pPr>
      <w:r w:rsidRPr="00CC3EF9">
        <w:rPr>
          <w:sz w:val="18"/>
          <w:szCs w:val="18"/>
        </w:rPr>
        <w:t xml:space="preserve">Vedoucí </w:t>
      </w:r>
      <w:r w:rsidR="00CC3EF9" w:rsidRPr="00CC3EF9">
        <w:rPr>
          <w:sz w:val="18"/>
          <w:szCs w:val="18"/>
        </w:rPr>
        <w:t>TPI</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CC3EF9" w:rsidRDefault="002038D5" w:rsidP="00165977">
            <w:pPr>
              <w:pStyle w:val="Tabulka"/>
              <w:rPr>
                <w:rStyle w:val="Nadpisvtabulce"/>
              </w:rPr>
            </w:pPr>
            <w:r w:rsidRPr="00CC3EF9">
              <w:rPr>
                <w:rStyle w:val="Nadpisvtabulce"/>
              </w:rPr>
              <w:t>Jméno a příjmení</w:t>
            </w:r>
          </w:p>
        </w:tc>
        <w:tc>
          <w:tcPr>
            <w:tcW w:w="5812" w:type="dxa"/>
          </w:tcPr>
          <w:p w14:paraId="498FF45C" w14:textId="20D2170A"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CC3EF9">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CC3EF9" w:rsidRDefault="002038D5" w:rsidP="00165977">
            <w:pPr>
              <w:pStyle w:val="Tabulka"/>
              <w:rPr>
                <w:sz w:val="18"/>
              </w:rPr>
            </w:pPr>
            <w:r w:rsidRPr="00CC3EF9">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CC3EF9" w:rsidRDefault="002038D5" w:rsidP="00165977">
            <w:pPr>
              <w:pStyle w:val="Tabulka"/>
              <w:rPr>
                <w:sz w:val="18"/>
              </w:rPr>
            </w:pPr>
            <w:r w:rsidRPr="00CC3EF9">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CC3EF9" w:rsidRDefault="002038D5" w:rsidP="00165977">
            <w:pPr>
              <w:pStyle w:val="Tabulka"/>
              <w:rPr>
                <w:sz w:val="18"/>
              </w:rPr>
            </w:pPr>
            <w:r w:rsidRPr="00CC3EF9">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3048BF22" w14:textId="77777777" w:rsidR="00CC3EF9" w:rsidRDefault="00CC3EF9" w:rsidP="00CC3EF9">
      <w:pPr>
        <w:pStyle w:val="Nadpistabulky"/>
        <w:rPr>
          <w:sz w:val="18"/>
          <w:szCs w:val="18"/>
        </w:rPr>
      </w:pPr>
      <w:r>
        <w:rPr>
          <w:sz w:val="18"/>
          <w:szCs w:val="18"/>
        </w:rPr>
        <w:t>Zástupce vedoucího TPI</w:t>
      </w:r>
    </w:p>
    <w:tbl>
      <w:tblPr>
        <w:tblStyle w:val="Mkatabulky"/>
        <w:tblW w:w="8868" w:type="dxa"/>
        <w:tblLook w:val="04A0" w:firstRow="1" w:lastRow="0" w:firstColumn="1" w:lastColumn="0" w:noHBand="0" w:noVBand="1"/>
      </w:tblPr>
      <w:tblGrid>
        <w:gridCol w:w="3056"/>
        <w:gridCol w:w="5812"/>
      </w:tblGrid>
      <w:tr w:rsidR="00CC3EF9" w14:paraId="0902FF4E" w14:textId="77777777" w:rsidTr="00C27F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1D94381" w14:textId="77777777" w:rsidR="00CC3EF9" w:rsidRDefault="00CC3EF9" w:rsidP="00C27FFB">
            <w:pPr>
              <w:pStyle w:val="Tabulka"/>
              <w:keepNext/>
              <w:rPr>
                <w:rStyle w:val="Nadpisvtabulce"/>
              </w:rPr>
            </w:pPr>
            <w:r>
              <w:rPr>
                <w:rStyle w:val="Nadpisvtabulce"/>
              </w:rPr>
              <w:t>Jméno a příjmení</w:t>
            </w:r>
          </w:p>
        </w:tc>
        <w:tc>
          <w:tcPr>
            <w:tcW w:w="5812" w:type="dxa"/>
            <w:hideMark/>
          </w:tcPr>
          <w:p w14:paraId="36FFA8FF" w14:textId="77777777" w:rsidR="00CC3EF9" w:rsidRDefault="00CC3EF9" w:rsidP="00C27FFB">
            <w:pPr>
              <w:pStyle w:val="Tabulka"/>
              <w:keepNext/>
              <w:cnfStyle w:val="100000000000" w:firstRow="1" w:lastRow="0" w:firstColumn="0" w:lastColumn="0" w:oddVBand="0" w:evenVBand="0" w:oddHBand="0" w:evenHBand="0" w:firstRowFirstColumn="0" w:firstRowLastColumn="0" w:lastRowFirstColumn="0" w:lastRowLastColumn="0"/>
            </w:pPr>
            <w:r>
              <w:rPr>
                <w:b/>
                <w:sz w:val="18"/>
                <w:highlight w:val="yellow"/>
              </w:rPr>
              <w:t>[VLOŽÍ ZHOTOVITEL]</w:t>
            </w:r>
          </w:p>
        </w:tc>
      </w:tr>
      <w:tr w:rsidR="00CC3EF9" w14:paraId="7EC0C1DA" w14:textId="77777777" w:rsidTr="00C27FF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308FD72" w14:textId="77777777" w:rsidR="00CC3EF9" w:rsidRDefault="00CC3EF9" w:rsidP="00C27FFB">
            <w:pPr>
              <w:pStyle w:val="Tabulka"/>
              <w:keepNext/>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AEFDB67" w14:textId="77777777" w:rsidR="00CC3EF9" w:rsidRDefault="00CC3EF9" w:rsidP="00C27FFB">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C3EF9" w14:paraId="752C3821" w14:textId="77777777" w:rsidTr="00C27FF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3D9B451" w14:textId="77777777" w:rsidR="00CC3EF9" w:rsidRDefault="00CC3EF9" w:rsidP="00C27FFB">
            <w:pPr>
              <w:pStyle w:val="Tabulka"/>
              <w:keepNext/>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11E76577" w14:textId="77777777" w:rsidR="00CC3EF9" w:rsidRDefault="00CC3EF9" w:rsidP="00C27FFB">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C3EF9" w14:paraId="740F0FBF" w14:textId="77777777" w:rsidTr="00C27FF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C724924" w14:textId="77777777" w:rsidR="00CC3EF9" w:rsidRDefault="00CC3EF9" w:rsidP="00C27FFB">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76CCD5D" w14:textId="77777777" w:rsidR="00CC3EF9" w:rsidRDefault="00CC3EF9" w:rsidP="00C27FF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F88A2B7" w14:textId="77777777" w:rsidR="00CC3EF9" w:rsidRDefault="00CC3EF9"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4CE61352"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183"/>
        <w:gridCol w:w="2946"/>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gridSpan w:val="2"/>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529FDF50" w:rsidR="00D0544F" w:rsidRPr="00CC3EF9" w:rsidRDefault="00CC3EF9" w:rsidP="00D0544F">
            <w:pPr>
              <w:pStyle w:val="Tabulka"/>
              <w:rPr>
                <w:sz w:val="18"/>
              </w:rPr>
            </w:pPr>
            <w:r w:rsidRPr="00CC3EF9">
              <w:rPr>
                <w:sz w:val="18"/>
              </w:rPr>
              <w:t>Výzva k podání nabídky</w:t>
            </w:r>
          </w:p>
        </w:tc>
        <w:tc>
          <w:tcPr>
            <w:tcW w:w="3129" w:type="dxa"/>
            <w:gridSpan w:val="2"/>
          </w:tcPr>
          <w:p w14:paraId="20027AE0" w14:textId="30363D6F" w:rsidR="00D0544F" w:rsidRPr="00F95FBD" w:rsidRDefault="00CC3EF9"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11119/2025-SŽ-SSV-Ú3</w:t>
            </w:r>
          </w:p>
        </w:tc>
        <w:tc>
          <w:tcPr>
            <w:tcW w:w="2957" w:type="dxa"/>
          </w:tcPr>
          <w:p w14:paraId="1A309BA6" w14:textId="16AEEB5D" w:rsidR="00D0544F" w:rsidRPr="00F95FBD" w:rsidRDefault="00CC3EF9"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w:t>
            </w:r>
            <w:r w:rsidR="00090278">
              <w:rPr>
                <w:sz w:val="18"/>
              </w:rPr>
              <w:t>3</w:t>
            </w:r>
            <w:r>
              <w:rPr>
                <w:sz w:val="18"/>
              </w:rPr>
              <w:t>.10.2025</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1A763267" w:rsidR="00D0544F" w:rsidRPr="00D0544F" w:rsidRDefault="00CC3EF9" w:rsidP="00CC3EF9">
            <w:pPr>
              <w:pStyle w:val="Tabulka"/>
              <w:jc w:val="left"/>
              <w:rPr>
                <w:sz w:val="18"/>
                <w:highlight w:val="green"/>
              </w:rPr>
            </w:pPr>
            <w:r w:rsidRPr="004D153F">
              <w:rPr>
                <w:sz w:val="18"/>
              </w:rPr>
              <w:t xml:space="preserve">Vybrané části PDPS (Projektová dokumentace pro provádění stavby), zpracovaný společností „Společnost </w:t>
            </w:r>
            <w:proofErr w:type="spellStart"/>
            <w:r w:rsidRPr="004D153F">
              <w:rPr>
                <w:sz w:val="18"/>
              </w:rPr>
              <w:t>KojPře</w:t>
            </w:r>
            <w:proofErr w:type="spellEnd"/>
            <w:r w:rsidRPr="004D153F">
              <w:rPr>
                <w:sz w:val="18"/>
              </w:rPr>
              <w:t>“ zastoupená MORAVIA CONSULT Olomouc a.s.</w:t>
            </w:r>
          </w:p>
        </w:tc>
        <w:tc>
          <w:tcPr>
            <w:tcW w:w="3129" w:type="dxa"/>
            <w:gridSpan w:val="2"/>
          </w:tcPr>
          <w:p w14:paraId="2FBC8AD6" w14:textId="4D380D6B" w:rsidR="00D0544F" w:rsidRPr="00F95FBD" w:rsidRDefault="00CC3EF9"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6F27044A" w14:textId="05218887" w:rsidR="00D0544F" w:rsidRPr="00F95FBD" w:rsidRDefault="00CC3EF9"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05/2023</w:t>
            </w: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3A18C04B" w:rsidR="00D0544F" w:rsidRPr="00CC3EF9" w:rsidRDefault="00CC3EF9" w:rsidP="00964369">
            <w:pPr>
              <w:pStyle w:val="Tabulka"/>
              <w:rPr>
                <w:sz w:val="18"/>
              </w:rPr>
            </w:pPr>
            <w:r w:rsidRPr="00CC3EF9">
              <w:rPr>
                <w:sz w:val="18"/>
              </w:rPr>
              <w:t>Nabídka zhotovitele</w:t>
            </w:r>
          </w:p>
        </w:tc>
        <w:tc>
          <w:tcPr>
            <w:tcW w:w="3129" w:type="dxa"/>
            <w:gridSpan w:val="2"/>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CC3EF9" w:rsidRPr="00F95FBD" w14:paraId="3C590716" w14:textId="77777777" w:rsidTr="00964369">
        <w:trPr>
          <w:gridAfter w:val="2"/>
          <w:wAfter w:w="5903" w:type="dxa"/>
        </w:trPr>
        <w:tc>
          <w:tcPr>
            <w:cnfStyle w:val="001000000000" w:firstRow="0" w:lastRow="0" w:firstColumn="1" w:lastColumn="0" w:oddVBand="0" w:evenVBand="0" w:oddHBand="0" w:evenHBand="0" w:firstRowFirstColumn="0" w:firstRowLastColumn="0" w:lastRowFirstColumn="0" w:lastRowLastColumn="0"/>
            <w:tcW w:w="2957" w:type="dxa"/>
            <w:gridSpan w:val="2"/>
          </w:tcPr>
          <w:p w14:paraId="360A1875" w14:textId="77777777" w:rsidR="00CC3EF9" w:rsidRPr="00F95FBD" w:rsidRDefault="00CC3EF9" w:rsidP="00964369">
            <w:pPr>
              <w:pStyle w:val="Tabulka"/>
              <w:jc w:val="center"/>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33AFFA14"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0278">
            <w:rPr>
              <w:b/>
              <w:noProof/>
              <w:color w:val="FF5200" w:themeColor="accent2"/>
              <w:sz w:val="14"/>
              <w:szCs w:val="14"/>
            </w:rPr>
            <w:t>8</w:t>
          </w:r>
          <w:r w:rsidRPr="007145F3">
            <w:rPr>
              <w:b/>
              <w:noProof/>
              <w:color w:val="FF5200" w:themeColor="accent2"/>
              <w:sz w:val="14"/>
              <w:szCs w:val="14"/>
            </w:rPr>
            <w:fldChar w:fldCharType="end"/>
          </w:r>
        </w:p>
      </w:tc>
      <w:tc>
        <w:tcPr>
          <w:tcW w:w="284" w:type="dxa"/>
          <w:tcMar>
            <w:left w:w="0" w:type="dxa"/>
            <w:right w:w="0" w:type="dxa"/>
          </w:tcMar>
        </w:tcPr>
        <w:p w14:paraId="1A5C71EF" w14:textId="77777777" w:rsidR="007B3D58" w:rsidRDefault="007B3D58" w:rsidP="00B8518B">
          <w:pPr>
            <w:pStyle w:val="Zpat"/>
          </w:pPr>
        </w:p>
      </w:tc>
      <w:tc>
        <w:tcPr>
          <w:tcW w:w="425" w:type="dxa"/>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3DF8135F"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027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91F693D" w14:textId="77777777" w:rsidR="007B3D58" w:rsidRDefault="007B3D58" w:rsidP="00B8518B">
          <w:pPr>
            <w:pStyle w:val="Zpat"/>
          </w:pPr>
        </w:p>
      </w:tc>
      <w:tc>
        <w:tcPr>
          <w:tcW w:w="425" w:type="dxa"/>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7F0019F9"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027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B8DD3E0" w14:textId="77777777" w:rsidR="007B3D58" w:rsidRDefault="007B3D58" w:rsidP="00B8518B">
          <w:pPr>
            <w:pStyle w:val="Zpat"/>
          </w:pPr>
        </w:p>
      </w:tc>
      <w:tc>
        <w:tcPr>
          <w:tcW w:w="425" w:type="dxa"/>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F44288B" w14:textId="77777777" w:rsidTr="00EB46E5">
      <w:tc>
        <w:tcPr>
          <w:tcW w:w="1361" w:type="dxa"/>
          <w:tcMar>
            <w:left w:w="0" w:type="dxa"/>
            <w:right w:w="0" w:type="dxa"/>
          </w:tcMar>
          <w:vAlign w:val="bottom"/>
        </w:tcPr>
        <w:p w14:paraId="2ABBDD31" w14:textId="1FC24000"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0278">
            <w:rPr>
              <w:b/>
              <w:noProof/>
              <w:color w:val="FF5200" w:themeColor="accent2"/>
              <w:sz w:val="14"/>
              <w:szCs w:val="14"/>
            </w:rPr>
            <w:t>2</w:t>
          </w:r>
          <w:r w:rsidRPr="007145F3">
            <w:rPr>
              <w:b/>
              <w:noProof/>
              <w:color w:val="FF5200" w:themeColor="accent2"/>
              <w:sz w:val="14"/>
              <w:szCs w:val="14"/>
            </w:rPr>
            <w:fldChar w:fldCharType="end"/>
          </w:r>
        </w:p>
      </w:tc>
      <w:tc>
        <w:tcPr>
          <w:tcW w:w="284" w:type="dxa"/>
          <w:tcMar>
            <w:left w:w="0" w:type="dxa"/>
            <w:right w:w="0" w:type="dxa"/>
          </w:tcMar>
        </w:tcPr>
        <w:p w14:paraId="042166F0" w14:textId="77777777" w:rsidR="007B3D58" w:rsidRDefault="007B3D58" w:rsidP="00B8518B">
          <w:pPr>
            <w:pStyle w:val="Zpat"/>
          </w:pPr>
        </w:p>
      </w:tc>
      <w:tc>
        <w:tcPr>
          <w:tcW w:w="425" w:type="dxa"/>
          <w:tcMar>
            <w:left w:w="0" w:type="dxa"/>
            <w:right w:w="0" w:type="dxa"/>
          </w:tcMar>
        </w:tcPr>
        <w:p w14:paraId="1076B944" w14:textId="77777777" w:rsidR="007B3D58" w:rsidRDefault="007B3D58" w:rsidP="00B8518B">
          <w:pPr>
            <w:pStyle w:val="Zpat"/>
          </w:pPr>
        </w:p>
      </w:tc>
      <w:tc>
        <w:tcPr>
          <w:tcW w:w="8505" w:type="dxa"/>
        </w:tcPr>
        <w:p w14:paraId="35AE2265" w14:textId="77777777" w:rsidR="007B3D58" w:rsidRPr="00143EC0" w:rsidRDefault="007B3D58" w:rsidP="00F422D3">
          <w:pPr>
            <w:pStyle w:val="Zpat0"/>
            <w:rPr>
              <w:b/>
            </w:rPr>
          </w:pPr>
          <w:r w:rsidRPr="00143EC0">
            <w:rPr>
              <w:b/>
            </w:rPr>
            <w:t>PŘÍLOHA č. 1</w:t>
          </w:r>
        </w:p>
        <w:p w14:paraId="746A5B79" w14:textId="77777777" w:rsidR="007B3D58" w:rsidRDefault="007B3D58" w:rsidP="0056713A">
          <w:pPr>
            <w:pStyle w:val="Zpat0"/>
          </w:pPr>
          <w:r w:rsidRPr="00886B4D">
            <w:rPr>
              <w:b/>
            </w:rPr>
            <w:t xml:space="preserve">Smlouva o dílo na </w:t>
          </w:r>
          <w:r>
            <w:rPr>
              <w:b/>
            </w:rPr>
            <w:t>poskytování služeb</w:t>
          </w:r>
        </w:p>
      </w:tc>
    </w:tr>
  </w:tbl>
  <w:p w14:paraId="64D43270"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3AD6841D"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027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7CC4E233" w14:textId="77777777" w:rsidR="007B3D58" w:rsidRDefault="007B3D58" w:rsidP="00B8518B">
          <w:pPr>
            <w:pStyle w:val="Zpat"/>
          </w:pPr>
        </w:p>
      </w:tc>
      <w:tc>
        <w:tcPr>
          <w:tcW w:w="425" w:type="dxa"/>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48BEB41F"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027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3DD2792" w14:textId="77777777" w:rsidR="007B3D58" w:rsidRDefault="007B3D58" w:rsidP="00B8518B">
          <w:pPr>
            <w:pStyle w:val="Zpat"/>
          </w:pPr>
        </w:p>
      </w:tc>
      <w:tc>
        <w:tcPr>
          <w:tcW w:w="425" w:type="dxa"/>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063476C0"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027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BAD42E6" w14:textId="77777777" w:rsidR="007B3D58" w:rsidRDefault="007B3D58" w:rsidP="00B8518B">
          <w:pPr>
            <w:pStyle w:val="Zpat"/>
          </w:pPr>
        </w:p>
      </w:tc>
      <w:tc>
        <w:tcPr>
          <w:tcW w:w="425" w:type="dxa"/>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5534463B"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027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DE3C38" w14:textId="77777777" w:rsidR="007B3D58" w:rsidRDefault="007B3D58" w:rsidP="00B8518B">
          <w:pPr>
            <w:pStyle w:val="Zpat"/>
          </w:pPr>
        </w:p>
      </w:tc>
      <w:tc>
        <w:tcPr>
          <w:tcW w:w="425" w:type="dxa"/>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0AA4F5C9"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0278">
            <w:rPr>
              <w:b/>
              <w:noProof/>
              <w:color w:val="FF5200" w:themeColor="accent2"/>
              <w:sz w:val="14"/>
              <w:szCs w:val="14"/>
            </w:rPr>
            <w:t>2</w:t>
          </w:r>
          <w:r w:rsidRPr="007145F3">
            <w:rPr>
              <w:b/>
              <w:noProof/>
              <w:color w:val="FF5200" w:themeColor="accent2"/>
              <w:sz w:val="14"/>
              <w:szCs w:val="14"/>
            </w:rPr>
            <w:fldChar w:fldCharType="end"/>
          </w:r>
        </w:p>
      </w:tc>
      <w:tc>
        <w:tcPr>
          <w:tcW w:w="284" w:type="dxa"/>
          <w:tcMar>
            <w:left w:w="0" w:type="dxa"/>
            <w:right w:w="0" w:type="dxa"/>
          </w:tcMar>
        </w:tcPr>
        <w:p w14:paraId="5F43EEC9" w14:textId="77777777" w:rsidR="007B3D58" w:rsidRDefault="007B3D58" w:rsidP="00B8518B">
          <w:pPr>
            <w:pStyle w:val="Zpat"/>
          </w:pPr>
        </w:p>
      </w:tc>
      <w:tc>
        <w:tcPr>
          <w:tcW w:w="425" w:type="dxa"/>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7D004219"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027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331A984A" w14:textId="77777777" w:rsidR="007B3D58" w:rsidRDefault="007B3D58" w:rsidP="00B8518B">
          <w:pPr>
            <w:pStyle w:val="Zpat"/>
          </w:pPr>
        </w:p>
      </w:tc>
      <w:tc>
        <w:tcPr>
          <w:tcW w:w="425" w:type="dxa"/>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3FF98" w14:textId="5C9AC78A" w:rsidR="00870BCE" w:rsidRDefault="00870BCE">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7A28BFAC" w:rsidR="007B3D58" w:rsidRPr="00B8518B" w:rsidRDefault="007B3D58" w:rsidP="00523EA7">
          <w:pPr>
            <w:pStyle w:val="Zpat"/>
            <w:rPr>
              <w:rStyle w:val="slostrnky"/>
            </w:rPr>
          </w:pPr>
        </w:p>
      </w:tc>
      <w:tc>
        <w:tcPr>
          <w:tcW w:w="3458" w:type="dxa"/>
          <w:tcMar>
            <w:top w:w="57" w:type="dxa"/>
            <w:left w:w="0" w:type="dxa"/>
            <w:right w:w="0" w:type="dxa"/>
          </w:tcMar>
        </w:tcPr>
        <w:p w14:paraId="424F1A70" w14:textId="77777777" w:rsidR="007B3D58" w:rsidRDefault="007B3D58" w:rsidP="00523EA7">
          <w:pPr>
            <w:pStyle w:val="Zpat"/>
          </w:pPr>
        </w:p>
      </w:tc>
      <w:tc>
        <w:tcPr>
          <w:tcW w:w="5698" w:type="dxa"/>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6ED4F0DA" w:rsidR="007B3D58" w:rsidRPr="00B8518B" w:rsidRDefault="007B3D58" w:rsidP="00523EA7">
          <w:pPr>
            <w:pStyle w:val="Zpat"/>
            <w:rPr>
              <w:rStyle w:val="slostrnky"/>
            </w:rPr>
          </w:pPr>
        </w:p>
      </w:tc>
      <w:tc>
        <w:tcPr>
          <w:tcW w:w="3458" w:type="dxa"/>
          <w:tcMar>
            <w:top w:w="57" w:type="dxa"/>
            <w:left w:w="0" w:type="dxa"/>
            <w:right w:w="0" w:type="dxa"/>
          </w:tcMar>
        </w:tcPr>
        <w:p w14:paraId="57DB98B3" w14:textId="77777777" w:rsidR="007B3D58" w:rsidRDefault="007B3D58" w:rsidP="00523EA7">
          <w:pPr>
            <w:pStyle w:val="Zpat"/>
          </w:pPr>
        </w:p>
      </w:tc>
      <w:tc>
        <w:tcPr>
          <w:tcW w:w="5698" w:type="dxa"/>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171DD72F" w:rsidR="007B3D58" w:rsidRPr="00B8518B" w:rsidRDefault="007B3D58" w:rsidP="00523EA7">
          <w:pPr>
            <w:pStyle w:val="Zpat"/>
            <w:rPr>
              <w:rStyle w:val="slostrnky"/>
            </w:rPr>
          </w:pPr>
        </w:p>
      </w:tc>
      <w:tc>
        <w:tcPr>
          <w:tcW w:w="3458" w:type="dxa"/>
          <w:tcMar>
            <w:top w:w="57" w:type="dxa"/>
            <w:left w:w="0" w:type="dxa"/>
            <w:right w:w="0" w:type="dxa"/>
          </w:tcMar>
        </w:tcPr>
        <w:p w14:paraId="314BD8E6" w14:textId="77777777" w:rsidR="007B3D58" w:rsidRDefault="007B3D58" w:rsidP="00523EA7">
          <w:pPr>
            <w:pStyle w:val="Zpat"/>
          </w:pPr>
        </w:p>
      </w:tc>
      <w:tc>
        <w:tcPr>
          <w:tcW w:w="5698" w:type="dxa"/>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6E7D6BBB" w:rsidR="007B3D58" w:rsidRPr="00B8518B" w:rsidRDefault="007B3D58" w:rsidP="00523EA7">
          <w:pPr>
            <w:pStyle w:val="Zpat"/>
            <w:rPr>
              <w:rStyle w:val="slostrnky"/>
            </w:rPr>
          </w:pPr>
        </w:p>
      </w:tc>
      <w:tc>
        <w:tcPr>
          <w:tcW w:w="3458" w:type="dxa"/>
          <w:tcMar>
            <w:top w:w="57" w:type="dxa"/>
            <w:left w:w="0" w:type="dxa"/>
            <w:right w:w="0" w:type="dxa"/>
          </w:tcMar>
        </w:tcPr>
        <w:p w14:paraId="1CF3204D" w14:textId="77777777" w:rsidR="007B3D58" w:rsidRDefault="007B3D58" w:rsidP="00523EA7">
          <w:pPr>
            <w:pStyle w:val="Zpat"/>
          </w:pPr>
        </w:p>
      </w:tc>
      <w:tc>
        <w:tcPr>
          <w:tcW w:w="5698" w:type="dxa"/>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3918262D" w:rsidR="007B3D58" w:rsidRPr="00B8518B" w:rsidRDefault="007B3D58" w:rsidP="00FC6389">
          <w:pPr>
            <w:pStyle w:val="Zpat"/>
            <w:rPr>
              <w:rStyle w:val="slostrnky"/>
            </w:rPr>
          </w:pPr>
        </w:p>
      </w:tc>
      <w:tc>
        <w:tcPr>
          <w:tcW w:w="3458" w:type="dxa"/>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tcMar>
            <w:left w:w="0" w:type="dxa"/>
            <w:right w:w="0" w:type="dxa"/>
          </w:tcMar>
        </w:tcPr>
        <w:p w14:paraId="0FE5771A" w14:textId="77777777" w:rsidR="007B3D58" w:rsidRDefault="007B3D58" w:rsidP="00FC6389">
          <w:pPr>
            <w:pStyle w:val="Zpat"/>
          </w:pPr>
        </w:p>
      </w:tc>
      <w:tc>
        <w:tcPr>
          <w:tcW w:w="5756" w:type="dxa"/>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0825F97" w14:textId="77777777" w:rsidTr="00C02D0A">
      <w:trPr>
        <w:trHeight w:hRule="exact" w:val="454"/>
      </w:trPr>
      <w:tc>
        <w:tcPr>
          <w:tcW w:w="1361" w:type="dxa"/>
          <w:tcMar>
            <w:top w:w="57" w:type="dxa"/>
            <w:left w:w="0" w:type="dxa"/>
            <w:right w:w="0" w:type="dxa"/>
          </w:tcMar>
        </w:tcPr>
        <w:p w14:paraId="3080BE33" w14:textId="7B1D9633" w:rsidR="007B3D58" w:rsidRPr="00B8518B" w:rsidRDefault="007B3D58" w:rsidP="00523EA7">
          <w:pPr>
            <w:pStyle w:val="Zpat"/>
            <w:rPr>
              <w:rStyle w:val="slostrnky"/>
            </w:rPr>
          </w:pPr>
        </w:p>
      </w:tc>
      <w:tc>
        <w:tcPr>
          <w:tcW w:w="3458" w:type="dxa"/>
          <w:tcMar>
            <w:top w:w="57" w:type="dxa"/>
            <w:left w:w="0" w:type="dxa"/>
            <w:right w:w="0" w:type="dxa"/>
          </w:tcMar>
        </w:tcPr>
        <w:p w14:paraId="560D6DD0" w14:textId="77777777" w:rsidR="007B3D58" w:rsidRDefault="007B3D58" w:rsidP="00523EA7">
          <w:pPr>
            <w:pStyle w:val="Zpat"/>
          </w:pPr>
        </w:p>
      </w:tc>
      <w:tc>
        <w:tcPr>
          <w:tcW w:w="5698" w:type="dxa"/>
          <w:tcMar>
            <w:top w:w="57" w:type="dxa"/>
            <w:left w:w="0" w:type="dxa"/>
            <w:right w:w="0" w:type="dxa"/>
          </w:tcMar>
        </w:tcPr>
        <w:p w14:paraId="5C3AA2BF" w14:textId="77777777" w:rsidR="007B3D58" w:rsidRPr="00D6163D" w:rsidRDefault="007B3D58" w:rsidP="00D6163D">
          <w:pPr>
            <w:pStyle w:val="Druhdokumentu"/>
          </w:pPr>
        </w:p>
      </w:tc>
    </w:tr>
  </w:tbl>
  <w:p w14:paraId="3499F468"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61C26EB2" w:rsidR="007B3D58" w:rsidRPr="00B8518B" w:rsidRDefault="007B3D58" w:rsidP="00523EA7">
          <w:pPr>
            <w:pStyle w:val="Zpat"/>
            <w:rPr>
              <w:rStyle w:val="slostrnky"/>
            </w:rPr>
          </w:pPr>
        </w:p>
      </w:tc>
      <w:tc>
        <w:tcPr>
          <w:tcW w:w="3458" w:type="dxa"/>
          <w:tcMar>
            <w:top w:w="57" w:type="dxa"/>
            <w:left w:w="0" w:type="dxa"/>
            <w:right w:w="0" w:type="dxa"/>
          </w:tcMar>
        </w:tcPr>
        <w:p w14:paraId="3E2730BD" w14:textId="77777777" w:rsidR="007B3D58" w:rsidRDefault="007B3D58" w:rsidP="00523EA7">
          <w:pPr>
            <w:pStyle w:val="Zpat"/>
          </w:pPr>
        </w:p>
      </w:tc>
      <w:tc>
        <w:tcPr>
          <w:tcW w:w="5698" w:type="dxa"/>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58D0EA89" w:rsidR="007B3D58" w:rsidRPr="00B8518B" w:rsidRDefault="007B3D58" w:rsidP="00523EA7">
          <w:pPr>
            <w:pStyle w:val="Zpat"/>
            <w:rPr>
              <w:rStyle w:val="slostrnky"/>
            </w:rPr>
          </w:pPr>
        </w:p>
      </w:tc>
      <w:tc>
        <w:tcPr>
          <w:tcW w:w="3458" w:type="dxa"/>
          <w:tcMar>
            <w:top w:w="57" w:type="dxa"/>
            <w:left w:w="0" w:type="dxa"/>
            <w:right w:w="0" w:type="dxa"/>
          </w:tcMar>
        </w:tcPr>
        <w:p w14:paraId="54EEB917" w14:textId="77777777" w:rsidR="007B3D58" w:rsidRDefault="007B3D58" w:rsidP="00523EA7">
          <w:pPr>
            <w:pStyle w:val="Zpat"/>
          </w:pPr>
        </w:p>
      </w:tc>
      <w:tc>
        <w:tcPr>
          <w:tcW w:w="5698" w:type="dxa"/>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6B709354" w:rsidR="007B3D58" w:rsidRPr="00B8518B" w:rsidRDefault="007B3D58" w:rsidP="00523EA7">
          <w:pPr>
            <w:pStyle w:val="Zpat"/>
            <w:rPr>
              <w:rStyle w:val="slostrnky"/>
            </w:rPr>
          </w:pPr>
        </w:p>
      </w:tc>
      <w:tc>
        <w:tcPr>
          <w:tcW w:w="3458" w:type="dxa"/>
          <w:tcMar>
            <w:top w:w="57" w:type="dxa"/>
            <w:left w:w="0" w:type="dxa"/>
            <w:right w:w="0" w:type="dxa"/>
          </w:tcMar>
        </w:tcPr>
        <w:p w14:paraId="4C37B60E" w14:textId="77777777" w:rsidR="007B3D58" w:rsidRDefault="007B3D58" w:rsidP="00523EA7">
          <w:pPr>
            <w:pStyle w:val="Zpat"/>
          </w:pPr>
        </w:p>
      </w:tc>
      <w:tc>
        <w:tcPr>
          <w:tcW w:w="5698" w:type="dxa"/>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373AF25C" w:rsidR="007B3D58" w:rsidRPr="00B8518B" w:rsidRDefault="007B3D58" w:rsidP="00523EA7">
          <w:pPr>
            <w:pStyle w:val="Zpat"/>
            <w:rPr>
              <w:rStyle w:val="slostrnky"/>
            </w:rPr>
          </w:pPr>
        </w:p>
      </w:tc>
      <w:tc>
        <w:tcPr>
          <w:tcW w:w="3458" w:type="dxa"/>
          <w:tcMar>
            <w:top w:w="57" w:type="dxa"/>
            <w:left w:w="0" w:type="dxa"/>
            <w:right w:w="0" w:type="dxa"/>
          </w:tcMar>
        </w:tcPr>
        <w:p w14:paraId="5CE6143A" w14:textId="77777777" w:rsidR="007B3D58" w:rsidRDefault="007B3D58" w:rsidP="00523EA7">
          <w:pPr>
            <w:pStyle w:val="Zpat"/>
          </w:pPr>
        </w:p>
      </w:tc>
      <w:tc>
        <w:tcPr>
          <w:tcW w:w="5698" w:type="dxa"/>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084E19A8" w:rsidR="007B3D58" w:rsidRPr="00B8518B" w:rsidRDefault="007B3D58" w:rsidP="00523EA7">
          <w:pPr>
            <w:pStyle w:val="Zpat"/>
            <w:rPr>
              <w:rStyle w:val="slostrnky"/>
            </w:rPr>
          </w:pPr>
        </w:p>
      </w:tc>
      <w:tc>
        <w:tcPr>
          <w:tcW w:w="3458" w:type="dxa"/>
          <w:tcMar>
            <w:top w:w="57" w:type="dxa"/>
            <w:left w:w="0" w:type="dxa"/>
            <w:right w:w="0" w:type="dxa"/>
          </w:tcMar>
        </w:tcPr>
        <w:p w14:paraId="3F11630A" w14:textId="77777777" w:rsidR="007B3D58" w:rsidRDefault="007B3D58" w:rsidP="00523EA7">
          <w:pPr>
            <w:pStyle w:val="Zpat"/>
          </w:pPr>
        </w:p>
      </w:tc>
      <w:tc>
        <w:tcPr>
          <w:tcW w:w="5698" w:type="dxa"/>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9069B"/>
    <w:multiLevelType w:val="multilevel"/>
    <w:tmpl w:val="75DAD0C4"/>
    <w:lvl w:ilvl="0">
      <w:numFmt w:val="bullet"/>
      <w:lvlText w:val="-"/>
      <w:lvlJc w:val="left"/>
      <w:pPr>
        <w:ind w:left="1110" w:hanging="360"/>
      </w:pPr>
      <w:rPr>
        <w:rFonts w:ascii="Calibri" w:hAnsi="Calibri" w:cs="Times New Roman" w:hint="default"/>
      </w:rPr>
    </w:lvl>
    <w:lvl w:ilvl="1">
      <w:start w:val="1"/>
      <w:numFmt w:val="bullet"/>
      <w:lvlText w:val="o"/>
      <w:lvlJc w:val="left"/>
      <w:pPr>
        <w:ind w:left="1830" w:hanging="360"/>
      </w:pPr>
      <w:rPr>
        <w:rFonts w:ascii="Courier New" w:hAnsi="Courier New" w:cs="Times New Roman"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EF1878"/>
    <w:multiLevelType w:val="multilevel"/>
    <w:tmpl w:val="75DAD0C4"/>
    <w:lvl w:ilvl="0">
      <w:numFmt w:val="bullet"/>
      <w:lvlText w:val="-"/>
      <w:lvlJc w:val="left"/>
      <w:pPr>
        <w:ind w:left="1110" w:hanging="360"/>
      </w:pPr>
      <w:rPr>
        <w:rFonts w:ascii="Calibri" w:hAnsi="Calibri" w:cs="Times New Roman" w:hint="default"/>
      </w:rPr>
    </w:lvl>
    <w:lvl w:ilvl="1">
      <w:start w:val="1"/>
      <w:numFmt w:val="bullet"/>
      <w:lvlText w:val="o"/>
      <w:lvlJc w:val="left"/>
      <w:pPr>
        <w:ind w:left="1830" w:hanging="360"/>
      </w:pPr>
      <w:rPr>
        <w:rFonts w:ascii="Courier New" w:hAnsi="Courier New" w:cs="Times New Roman"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2"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41058720">
    <w:abstractNumId w:val="3"/>
  </w:num>
  <w:num w:numId="2" w16cid:durableId="1614553245">
    <w:abstractNumId w:val="1"/>
  </w:num>
  <w:num w:numId="3" w16cid:durableId="359361013">
    <w:abstractNumId w:val="14"/>
  </w:num>
  <w:num w:numId="4" w16cid:durableId="504245960">
    <w:abstractNumId w:val="5"/>
  </w:num>
  <w:num w:numId="5" w16cid:durableId="15201964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534986">
    <w:abstractNumId w:val="6"/>
  </w:num>
  <w:num w:numId="7" w16cid:durableId="329068112">
    <w:abstractNumId w:val="10"/>
  </w:num>
  <w:num w:numId="8" w16cid:durableId="1204253119">
    <w:abstractNumId w:val="13"/>
  </w:num>
  <w:num w:numId="9" w16cid:durableId="386690477">
    <w:abstractNumId w:val="0"/>
  </w:num>
  <w:num w:numId="10" w16cid:durableId="883785504">
    <w:abstractNumId w:val="2"/>
  </w:num>
  <w:num w:numId="11" w16cid:durableId="1478646676">
    <w:abstractNumId w:val="15"/>
  </w:num>
  <w:num w:numId="12" w16cid:durableId="2004158623">
    <w:abstractNumId w:val="0"/>
  </w:num>
  <w:num w:numId="13" w16cid:durableId="1844855495">
    <w:abstractNumId w:val="2"/>
  </w:num>
  <w:num w:numId="14" w16cid:durableId="1786266187">
    <w:abstractNumId w:val="2"/>
  </w:num>
  <w:num w:numId="15" w16cid:durableId="1278877104">
    <w:abstractNumId w:val="6"/>
  </w:num>
  <w:num w:numId="16" w16cid:durableId="1157309437">
    <w:abstractNumId w:val="6"/>
  </w:num>
  <w:num w:numId="17" w16cid:durableId="106320502">
    <w:abstractNumId w:val="6"/>
  </w:num>
  <w:num w:numId="18" w16cid:durableId="2124033394">
    <w:abstractNumId w:val="10"/>
  </w:num>
  <w:num w:numId="19" w16cid:durableId="1990596345">
    <w:abstractNumId w:val="10"/>
  </w:num>
  <w:num w:numId="20" w16cid:durableId="462887116">
    <w:abstractNumId w:val="10"/>
  </w:num>
  <w:num w:numId="21" w16cid:durableId="1732652759">
    <w:abstractNumId w:val="13"/>
  </w:num>
  <w:num w:numId="22" w16cid:durableId="751700872">
    <w:abstractNumId w:val="0"/>
  </w:num>
  <w:num w:numId="23" w16cid:durableId="1326519257">
    <w:abstractNumId w:val="0"/>
  </w:num>
  <w:num w:numId="24" w16cid:durableId="482159280">
    <w:abstractNumId w:val="2"/>
  </w:num>
  <w:num w:numId="25" w16cid:durableId="2061322146">
    <w:abstractNumId w:val="2"/>
  </w:num>
  <w:num w:numId="26" w16cid:durableId="149907770">
    <w:abstractNumId w:val="15"/>
  </w:num>
  <w:num w:numId="27" w16cid:durableId="581721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4171304">
    <w:abstractNumId w:val="0"/>
  </w:num>
  <w:num w:numId="29" w16cid:durableId="775171645">
    <w:abstractNumId w:val="8"/>
  </w:num>
  <w:num w:numId="30" w16cid:durableId="1048333832">
    <w:abstractNumId w:val="0"/>
  </w:num>
  <w:num w:numId="31" w16cid:durableId="1623458260">
    <w:abstractNumId w:val="0"/>
  </w:num>
  <w:num w:numId="32" w16cid:durableId="1984002180">
    <w:abstractNumId w:val="0"/>
  </w:num>
  <w:num w:numId="33" w16cid:durableId="314919363">
    <w:abstractNumId w:val="0"/>
  </w:num>
  <w:num w:numId="34" w16cid:durableId="567767526">
    <w:abstractNumId w:val="0"/>
  </w:num>
  <w:num w:numId="35" w16cid:durableId="964576789">
    <w:abstractNumId w:val="0"/>
  </w:num>
  <w:num w:numId="36" w16cid:durableId="387649324">
    <w:abstractNumId w:val="0"/>
  </w:num>
  <w:num w:numId="37" w16cid:durableId="2001082265">
    <w:abstractNumId w:val="12"/>
  </w:num>
  <w:num w:numId="38" w16cid:durableId="816343946">
    <w:abstractNumId w:val="0"/>
  </w:num>
  <w:num w:numId="39" w16cid:durableId="1394811648">
    <w:abstractNumId w:val="4"/>
  </w:num>
  <w:num w:numId="40" w16cid:durableId="1259605889">
    <w:abstractNumId w:val="0"/>
  </w:num>
  <w:num w:numId="41" w16cid:durableId="271518722">
    <w:abstractNumId w:val="0"/>
  </w:num>
  <w:num w:numId="42" w16cid:durableId="655451132">
    <w:abstractNumId w:val="0"/>
  </w:num>
  <w:num w:numId="43" w16cid:durableId="1459378128">
    <w:abstractNumId w:val="0"/>
  </w:num>
  <w:num w:numId="44" w16cid:durableId="1046219540">
    <w:abstractNumId w:val="7"/>
  </w:num>
  <w:num w:numId="45" w16cid:durableId="2110004563">
    <w:abstractNumId w:val="11"/>
  </w:num>
  <w:num w:numId="46" w16cid:durableId="112835319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1EC8"/>
    <w:rsid w:val="00047B05"/>
    <w:rsid w:val="0006588D"/>
    <w:rsid w:val="00067A5E"/>
    <w:rsid w:val="000719BB"/>
    <w:rsid w:val="000729F4"/>
    <w:rsid w:val="00072A65"/>
    <w:rsid w:val="00072C1E"/>
    <w:rsid w:val="000841E0"/>
    <w:rsid w:val="00090278"/>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276B4"/>
    <w:rsid w:val="00133336"/>
    <w:rsid w:val="00143EC0"/>
    <w:rsid w:val="00157BBB"/>
    <w:rsid w:val="00160E18"/>
    <w:rsid w:val="001656A2"/>
    <w:rsid w:val="00165977"/>
    <w:rsid w:val="00170EC5"/>
    <w:rsid w:val="001747C1"/>
    <w:rsid w:val="00176814"/>
    <w:rsid w:val="00177D6B"/>
    <w:rsid w:val="00181412"/>
    <w:rsid w:val="00191F90"/>
    <w:rsid w:val="0019221B"/>
    <w:rsid w:val="001A5B98"/>
    <w:rsid w:val="001B4E74"/>
    <w:rsid w:val="001C645F"/>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B4830"/>
    <w:rsid w:val="003C33F2"/>
    <w:rsid w:val="003D53FD"/>
    <w:rsid w:val="003D756E"/>
    <w:rsid w:val="003E420D"/>
    <w:rsid w:val="003E4C13"/>
    <w:rsid w:val="003F5723"/>
    <w:rsid w:val="004078F3"/>
    <w:rsid w:val="00427794"/>
    <w:rsid w:val="004436EE"/>
    <w:rsid w:val="00450F07"/>
    <w:rsid w:val="004535A2"/>
    <w:rsid w:val="00453CD3"/>
    <w:rsid w:val="0046002F"/>
    <w:rsid w:val="00460660"/>
    <w:rsid w:val="00464BA9"/>
    <w:rsid w:val="00471777"/>
    <w:rsid w:val="00483969"/>
    <w:rsid w:val="00486107"/>
    <w:rsid w:val="00491827"/>
    <w:rsid w:val="00491D38"/>
    <w:rsid w:val="004B249A"/>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487F"/>
    <w:rsid w:val="0056713A"/>
    <w:rsid w:val="005736B7"/>
    <w:rsid w:val="00573A05"/>
    <w:rsid w:val="00575E5A"/>
    <w:rsid w:val="00580245"/>
    <w:rsid w:val="00581936"/>
    <w:rsid w:val="005A0DD7"/>
    <w:rsid w:val="005A1F44"/>
    <w:rsid w:val="005A3013"/>
    <w:rsid w:val="005D3C39"/>
    <w:rsid w:val="005D4BDD"/>
    <w:rsid w:val="00600C41"/>
    <w:rsid w:val="00601A8C"/>
    <w:rsid w:val="0061068E"/>
    <w:rsid w:val="006115D3"/>
    <w:rsid w:val="006153EB"/>
    <w:rsid w:val="00644B90"/>
    <w:rsid w:val="00646AB2"/>
    <w:rsid w:val="00652BA0"/>
    <w:rsid w:val="0065610E"/>
    <w:rsid w:val="00660AD3"/>
    <w:rsid w:val="00664128"/>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B5C64"/>
    <w:rsid w:val="007D1378"/>
    <w:rsid w:val="007E4A6E"/>
    <w:rsid w:val="007E62AA"/>
    <w:rsid w:val="007F56A7"/>
    <w:rsid w:val="00800851"/>
    <w:rsid w:val="008063CD"/>
    <w:rsid w:val="00807DD0"/>
    <w:rsid w:val="0081131E"/>
    <w:rsid w:val="00821D01"/>
    <w:rsid w:val="00826B7B"/>
    <w:rsid w:val="0084658A"/>
    <w:rsid w:val="00846789"/>
    <w:rsid w:val="008546F9"/>
    <w:rsid w:val="00866994"/>
    <w:rsid w:val="00870BCE"/>
    <w:rsid w:val="008714F1"/>
    <w:rsid w:val="00897796"/>
    <w:rsid w:val="008A3568"/>
    <w:rsid w:val="008A4D1B"/>
    <w:rsid w:val="008C50F3"/>
    <w:rsid w:val="008C7EFE"/>
    <w:rsid w:val="008D03B9"/>
    <w:rsid w:val="008D30C7"/>
    <w:rsid w:val="008E1AFC"/>
    <w:rsid w:val="008E41A2"/>
    <w:rsid w:val="008F18D6"/>
    <w:rsid w:val="008F2C9B"/>
    <w:rsid w:val="008F797B"/>
    <w:rsid w:val="00904780"/>
    <w:rsid w:val="0090635B"/>
    <w:rsid w:val="00922385"/>
    <w:rsid w:val="009223DF"/>
    <w:rsid w:val="00936091"/>
    <w:rsid w:val="00940D8A"/>
    <w:rsid w:val="009438B5"/>
    <w:rsid w:val="00961EBB"/>
    <w:rsid w:val="00962258"/>
    <w:rsid w:val="00964369"/>
    <w:rsid w:val="009678B7"/>
    <w:rsid w:val="00984138"/>
    <w:rsid w:val="00992D9C"/>
    <w:rsid w:val="00996CB8"/>
    <w:rsid w:val="009A074F"/>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14F19"/>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67ADD"/>
    <w:rsid w:val="00B718FF"/>
    <w:rsid w:val="00B72613"/>
    <w:rsid w:val="00B75EE1"/>
    <w:rsid w:val="00B77202"/>
    <w:rsid w:val="00B77481"/>
    <w:rsid w:val="00B8518B"/>
    <w:rsid w:val="00B909F6"/>
    <w:rsid w:val="00B92ABC"/>
    <w:rsid w:val="00B97CC3"/>
    <w:rsid w:val="00BA5D63"/>
    <w:rsid w:val="00BA6957"/>
    <w:rsid w:val="00BC06C4"/>
    <w:rsid w:val="00BC0A82"/>
    <w:rsid w:val="00BC2E32"/>
    <w:rsid w:val="00BC753D"/>
    <w:rsid w:val="00BD3114"/>
    <w:rsid w:val="00BD4057"/>
    <w:rsid w:val="00BD7E91"/>
    <w:rsid w:val="00BD7F0D"/>
    <w:rsid w:val="00BE148C"/>
    <w:rsid w:val="00BE23C1"/>
    <w:rsid w:val="00BE5FCD"/>
    <w:rsid w:val="00BF37DE"/>
    <w:rsid w:val="00C02D0A"/>
    <w:rsid w:val="00C03A6E"/>
    <w:rsid w:val="00C226C0"/>
    <w:rsid w:val="00C37459"/>
    <w:rsid w:val="00C42FE6"/>
    <w:rsid w:val="00C44E44"/>
    <w:rsid w:val="00C44F6A"/>
    <w:rsid w:val="00C45470"/>
    <w:rsid w:val="00C54A41"/>
    <w:rsid w:val="00C6198E"/>
    <w:rsid w:val="00C64BE2"/>
    <w:rsid w:val="00C708EA"/>
    <w:rsid w:val="00C778A5"/>
    <w:rsid w:val="00C80097"/>
    <w:rsid w:val="00C95162"/>
    <w:rsid w:val="00CB4F6D"/>
    <w:rsid w:val="00CB6A37"/>
    <w:rsid w:val="00CB7684"/>
    <w:rsid w:val="00CC3EF9"/>
    <w:rsid w:val="00CC7C8F"/>
    <w:rsid w:val="00CD0507"/>
    <w:rsid w:val="00CD1FC4"/>
    <w:rsid w:val="00D034A0"/>
    <w:rsid w:val="00D0544F"/>
    <w:rsid w:val="00D15937"/>
    <w:rsid w:val="00D21061"/>
    <w:rsid w:val="00D31C6A"/>
    <w:rsid w:val="00D4108E"/>
    <w:rsid w:val="00D4328E"/>
    <w:rsid w:val="00D6163D"/>
    <w:rsid w:val="00D63580"/>
    <w:rsid w:val="00D831A3"/>
    <w:rsid w:val="00D97BE3"/>
    <w:rsid w:val="00DA3711"/>
    <w:rsid w:val="00DB26BD"/>
    <w:rsid w:val="00DB6272"/>
    <w:rsid w:val="00DC2FEB"/>
    <w:rsid w:val="00DD46F3"/>
    <w:rsid w:val="00DD5B6F"/>
    <w:rsid w:val="00DD5F8B"/>
    <w:rsid w:val="00DE56F2"/>
    <w:rsid w:val="00DE7F87"/>
    <w:rsid w:val="00DF116D"/>
    <w:rsid w:val="00E16FF7"/>
    <w:rsid w:val="00E26D68"/>
    <w:rsid w:val="00E435EA"/>
    <w:rsid w:val="00E44045"/>
    <w:rsid w:val="00E56550"/>
    <w:rsid w:val="00E56833"/>
    <w:rsid w:val="00E618C4"/>
    <w:rsid w:val="00E7415D"/>
    <w:rsid w:val="00E84D78"/>
    <w:rsid w:val="00E878EE"/>
    <w:rsid w:val="00E901A3"/>
    <w:rsid w:val="00EA490D"/>
    <w:rsid w:val="00EA585B"/>
    <w:rsid w:val="00EA6EC7"/>
    <w:rsid w:val="00EB104F"/>
    <w:rsid w:val="00EB3F68"/>
    <w:rsid w:val="00EB46E5"/>
    <w:rsid w:val="00EC707C"/>
    <w:rsid w:val="00ED14BD"/>
    <w:rsid w:val="00ED3A72"/>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62A8"/>
    <w:rsid w:val="00F849B8"/>
    <w:rsid w:val="00F86BA6"/>
    <w:rsid w:val="00F95FBD"/>
    <w:rsid w:val="00F9740F"/>
    <w:rsid w:val="00FB6342"/>
    <w:rsid w:val="00FC6389"/>
    <w:rsid w:val="00FD7C33"/>
    <w:rsid w:val="00FE15B0"/>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character" w:customStyle="1" w:styleId="normaltextrun">
    <w:name w:val="normaltextrun"/>
    <w:basedOn w:val="Standardnpsmoodstavce"/>
    <w:rsid w:val="00B90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oter" Target="footer9.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83B502C-280A-4A3E-A5EE-D670DEEDEACB}">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ŠABL-NL_Smlouva_oboustr_tisk_Fondy</Template>
  <TotalTime>5</TotalTime>
  <Pages>25</Pages>
  <Words>4877</Words>
  <Characters>28775</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7</cp:revision>
  <cp:lastPrinted>2021-01-21T09:43:00Z</cp:lastPrinted>
  <dcterms:created xsi:type="dcterms:W3CDTF">2025-09-08T14:56:00Z</dcterms:created>
  <dcterms:modified xsi:type="dcterms:W3CDTF">2025-10-22T11:09:00Z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